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spacing w:before="312" w:after="936"/>
        <w:rPr>
          <w:rFonts w:hint="eastAsia" w:ascii="方正小标宋_GBK" w:hAnsi="方正小标宋_GBK" w:eastAsia="方正小标宋_GBK" w:cs="方正小标宋_GBK"/>
          <w:b/>
          <w:bCs/>
          <w:color w:val="auto"/>
          <w:sz w:val="52"/>
          <w:szCs w:val="52"/>
        </w:rPr>
      </w:pPr>
      <w:r>
        <w:rPr>
          <w:rFonts w:hint="eastAsia" w:ascii="方正小标宋_GBK" w:hAnsi="方正小标宋_GBK" w:eastAsia="方正小标宋_GBK" w:cs="方正小标宋_GBK"/>
          <w:b/>
          <w:bCs/>
          <w:color w:val="auto"/>
          <w:sz w:val="52"/>
          <w:szCs w:val="52"/>
          <w:lang w:eastAsia="zh-CN"/>
        </w:rPr>
        <w:t>阆中</w:t>
      </w:r>
      <w:r>
        <w:rPr>
          <w:rFonts w:hint="eastAsia" w:ascii="方正小标宋_GBK" w:hAnsi="方正小标宋_GBK" w:eastAsia="方正小标宋_GBK" w:cs="方正小标宋_GBK"/>
          <w:b/>
          <w:bCs/>
          <w:color w:val="auto"/>
          <w:sz w:val="52"/>
          <w:szCs w:val="52"/>
          <w:lang w:val="en-US" w:eastAsia="zh-CN"/>
        </w:rPr>
        <w:t>和美乡村旅游发展</w:t>
      </w:r>
      <w:r>
        <w:rPr>
          <w:rFonts w:hint="eastAsia" w:ascii="方正小标宋_GBK" w:hAnsi="方正小标宋_GBK" w:eastAsia="方正小标宋_GBK" w:cs="方正小标宋_GBK"/>
          <w:b/>
          <w:bCs/>
          <w:color w:val="auto"/>
          <w:sz w:val="52"/>
          <w:szCs w:val="52"/>
        </w:rPr>
        <w:t>有限公司</w:t>
      </w:r>
    </w:p>
    <w:p>
      <w:pPr>
        <w:pStyle w:val="34"/>
        <w:keepNext w:val="0"/>
        <w:keepLines w:val="0"/>
        <w:pageBreakBefore w:val="0"/>
        <w:widowControl w:val="0"/>
        <w:kinsoku/>
        <w:wordWrap/>
        <w:overflowPunct/>
        <w:topLinePunct w:val="0"/>
        <w:autoSpaceDE/>
        <w:autoSpaceDN/>
        <w:bidi w:val="0"/>
        <w:adjustRightInd/>
        <w:snapToGrid/>
        <w:spacing w:before="312" w:after="313" w:afterLines="100"/>
        <w:textAlignment w:val="auto"/>
        <w:outlineLvl w:val="0"/>
        <w:rPr>
          <w:rFonts w:hint="eastAsia" w:ascii="方正小标宋_GBK" w:hAnsi="方正小标宋_GBK" w:eastAsia="方正小标宋_GBK" w:cs="方正小标宋_GBK"/>
          <w:b/>
          <w:bCs/>
          <w:color w:val="auto"/>
          <w:sz w:val="44"/>
          <w:szCs w:val="44"/>
        </w:rPr>
      </w:pPr>
      <w:r>
        <w:rPr>
          <w:rFonts w:hint="eastAsia" w:ascii="方正小标宋_GBK" w:hAnsi="方正小标宋_GBK" w:eastAsia="方正小标宋_GBK" w:cs="方正小标宋_GBK"/>
          <w:b/>
          <w:bCs/>
          <w:color w:val="auto"/>
          <w:sz w:val="44"/>
          <w:szCs w:val="44"/>
        </w:rPr>
        <w:t>安</w:t>
      </w:r>
    </w:p>
    <w:p>
      <w:pPr>
        <w:pStyle w:val="34"/>
        <w:keepNext w:val="0"/>
        <w:keepLines w:val="0"/>
        <w:pageBreakBefore w:val="0"/>
        <w:widowControl w:val="0"/>
        <w:kinsoku/>
        <w:wordWrap/>
        <w:overflowPunct/>
        <w:topLinePunct w:val="0"/>
        <w:autoSpaceDE/>
        <w:autoSpaceDN/>
        <w:bidi w:val="0"/>
        <w:adjustRightInd/>
        <w:snapToGrid/>
        <w:spacing w:before="312" w:after="313" w:afterLines="100"/>
        <w:textAlignment w:val="auto"/>
        <w:outlineLvl w:val="0"/>
        <w:rPr>
          <w:rFonts w:hint="eastAsia" w:ascii="方正小标宋_GBK" w:hAnsi="方正小标宋_GBK" w:eastAsia="方正小标宋_GBK" w:cs="方正小标宋_GBK"/>
          <w:b/>
          <w:bCs/>
          <w:color w:val="auto"/>
          <w:sz w:val="44"/>
          <w:szCs w:val="44"/>
        </w:rPr>
      </w:pPr>
      <w:r>
        <w:rPr>
          <w:rFonts w:hint="eastAsia" w:ascii="方正小标宋_GBK" w:hAnsi="方正小标宋_GBK" w:eastAsia="方正小标宋_GBK" w:cs="方正小标宋_GBK"/>
          <w:b/>
          <w:bCs/>
          <w:color w:val="auto"/>
          <w:sz w:val="44"/>
          <w:szCs w:val="44"/>
        </w:rPr>
        <w:t>全</w:t>
      </w:r>
    </w:p>
    <w:p>
      <w:pPr>
        <w:pStyle w:val="34"/>
        <w:keepNext w:val="0"/>
        <w:keepLines w:val="0"/>
        <w:pageBreakBefore w:val="0"/>
        <w:widowControl w:val="0"/>
        <w:kinsoku/>
        <w:wordWrap/>
        <w:overflowPunct/>
        <w:topLinePunct w:val="0"/>
        <w:autoSpaceDE/>
        <w:autoSpaceDN/>
        <w:bidi w:val="0"/>
        <w:adjustRightInd/>
        <w:snapToGrid/>
        <w:spacing w:before="312" w:after="313" w:afterLines="100"/>
        <w:textAlignment w:val="auto"/>
        <w:outlineLvl w:val="0"/>
        <w:rPr>
          <w:rFonts w:hint="eastAsia" w:ascii="方正小标宋_GBK" w:hAnsi="方正小标宋_GBK" w:eastAsia="方正小标宋_GBK" w:cs="方正小标宋_GBK"/>
          <w:b/>
          <w:bCs/>
          <w:color w:val="auto"/>
          <w:sz w:val="44"/>
          <w:szCs w:val="44"/>
        </w:rPr>
      </w:pPr>
      <w:r>
        <w:rPr>
          <w:rFonts w:hint="eastAsia" w:ascii="方正小标宋_GBK" w:hAnsi="方正小标宋_GBK" w:eastAsia="方正小标宋_GBK" w:cs="方正小标宋_GBK"/>
          <w:b/>
          <w:bCs/>
          <w:color w:val="auto"/>
          <w:sz w:val="44"/>
          <w:szCs w:val="44"/>
        </w:rPr>
        <w:t>生</w:t>
      </w:r>
    </w:p>
    <w:p>
      <w:pPr>
        <w:pStyle w:val="34"/>
        <w:keepNext w:val="0"/>
        <w:keepLines w:val="0"/>
        <w:pageBreakBefore w:val="0"/>
        <w:widowControl w:val="0"/>
        <w:kinsoku/>
        <w:wordWrap/>
        <w:overflowPunct/>
        <w:topLinePunct w:val="0"/>
        <w:autoSpaceDE/>
        <w:autoSpaceDN/>
        <w:bidi w:val="0"/>
        <w:adjustRightInd/>
        <w:snapToGrid/>
        <w:spacing w:before="312" w:after="313" w:afterLines="100"/>
        <w:textAlignment w:val="auto"/>
        <w:outlineLvl w:val="0"/>
        <w:rPr>
          <w:rFonts w:hint="eastAsia" w:ascii="方正小标宋_GBK" w:hAnsi="方正小标宋_GBK" w:eastAsia="方正小标宋_GBK" w:cs="方正小标宋_GBK"/>
          <w:b/>
          <w:bCs/>
          <w:color w:val="auto"/>
          <w:sz w:val="44"/>
          <w:szCs w:val="44"/>
        </w:rPr>
      </w:pPr>
      <w:r>
        <w:rPr>
          <w:rFonts w:hint="eastAsia" w:ascii="方正小标宋_GBK" w:hAnsi="方正小标宋_GBK" w:eastAsia="方正小标宋_GBK" w:cs="方正小标宋_GBK"/>
          <w:b/>
          <w:bCs/>
          <w:color w:val="auto"/>
          <w:sz w:val="44"/>
          <w:szCs w:val="44"/>
        </w:rPr>
        <w:t>产</w:t>
      </w:r>
    </w:p>
    <w:p>
      <w:pPr>
        <w:pStyle w:val="34"/>
        <w:keepNext w:val="0"/>
        <w:keepLines w:val="0"/>
        <w:pageBreakBefore w:val="0"/>
        <w:widowControl w:val="0"/>
        <w:kinsoku/>
        <w:wordWrap/>
        <w:overflowPunct/>
        <w:topLinePunct w:val="0"/>
        <w:autoSpaceDE/>
        <w:autoSpaceDN/>
        <w:bidi w:val="0"/>
        <w:adjustRightInd/>
        <w:snapToGrid/>
        <w:spacing w:before="312" w:after="313" w:afterLines="100"/>
        <w:textAlignment w:val="auto"/>
        <w:outlineLvl w:val="0"/>
        <w:rPr>
          <w:rFonts w:hint="eastAsia" w:ascii="方正小标宋_GBK" w:hAnsi="方正小标宋_GBK" w:eastAsia="方正小标宋_GBK" w:cs="方正小标宋_GBK"/>
          <w:b/>
          <w:bCs/>
          <w:color w:val="auto"/>
          <w:sz w:val="44"/>
          <w:szCs w:val="44"/>
        </w:rPr>
      </w:pPr>
      <w:r>
        <w:rPr>
          <w:rFonts w:hint="eastAsia" w:ascii="方正小标宋_GBK" w:hAnsi="方正小标宋_GBK" w:eastAsia="方正小标宋_GBK" w:cs="方正小标宋_GBK"/>
          <w:b/>
          <w:bCs/>
          <w:color w:val="auto"/>
          <w:sz w:val="44"/>
          <w:szCs w:val="44"/>
        </w:rPr>
        <w:t>管</w:t>
      </w:r>
    </w:p>
    <w:p>
      <w:pPr>
        <w:pStyle w:val="34"/>
        <w:keepNext w:val="0"/>
        <w:keepLines w:val="0"/>
        <w:pageBreakBefore w:val="0"/>
        <w:widowControl w:val="0"/>
        <w:kinsoku/>
        <w:wordWrap/>
        <w:overflowPunct/>
        <w:topLinePunct w:val="0"/>
        <w:autoSpaceDE/>
        <w:autoSpaceDN/>
        <w:bidi w:val="0"/>
        <w:adjustRightInd/>
        <w:snapToGrid/>
        <w:spacing w:before="312" w:after="313" w:afterLines="100"/>
        <w:textAlignment w:val="auto"/>
        <w:outlineLvl w:val="0"/>
        <w:rPr>
          <w:rFonts w:hint="eastAsia" w:ascii="方正小标宋_GBK" w:hAnsi="方正小标宋_GBK" w:eastAsia="方正小标宋_GBK" w:cs="方正小标宋_GBK"/>
          <w:b/>
          <w:bCs/>
          <w:color w:val="auto"/>
          <w:sz w:val="44"/>
          <w:szCs w:val="44"/>
        </w:rPr>
      </w:pPr>
      <w:r>
        <w:rPr>
          <w:rFonts w:hint="eastAsia" w:ascii="方正小标宋_GBK" w:hAnsi="方正小标宋_GBK" w:eastAsia="方正小标宋_GBK" w:cs="方正小标宋_GBK"/>
          <w:b/>
          <w:bCs/>
          <w:color w:val="auto"/>
          <w:sz w:val="44"/>
          <w:szCs w:val="44"/>
        </w:rPr>
        <w:t>理</w:t>
      </w:r>
    </w:p>
    <w:p>
      <w:pPr>
        <w:pStyle w:val="34"/>
        <w:keepNext w:val="0"/>
        <w:keepLines w:val="0"/>
        <w:pageBreakBefore w:val="0"/>
        <w:widowControl w:val="0"/>
        <w:kinsoku/>
        <w:wordWrap/>
        <w:overflowPunct/>
        <w:topLinePunct w:val="0"/>
        <w:autoSpaceDE/>
        <w:autoSpaceDN/>
        <w:bidi w:val="0"/>
        <w:adjustRightInd/>
        <w:snapToGrid/>
        <w:spacing w:before="312" w:after="313" w:afterLines="100"/>
        <w:textAlignment w:val="auto"/>
        <w:outlineLvl w:val="0"/>
        <w:rPr>
          <w:rFonts w:hint="eastAsia" w:ascii="方正小标宋_GBK" w:hAnsi="方正小标宋_GBK" w:eastAsia="方正小标宋_GBK" w:cs="方正小标宋_GBK"/>
          <w:b/>
          <w:bCs/>
          <w:color w:val="auto"/>
          <w:sz w:val="44"/>
          <w:szCs w:val="44"/>
          <w:lang w:val="en-US" w:eastAsia="zh-CN"/>
        </w:rPr>
      </w:pPr>
      <w:r>
        <w:rPr>
          <w:rFonts w:hint="eastAsia" w:ascii="方正小标宋_GBK" w:hAnsi="方正小标宋_GBK" w:eastAsia="方正小标宋_GBK" w:cs="方正小标宋_GBK"/>
          <w:b/>
          <w:bCs/>
          <w:color w:val="auto"/>
          <w:sz w:val="44"/>
          <w:szCs w:val="44"/>
          <w:lang w:val="en-US" w:eastAsia="zh-CN"/>
        </w:rPr>
        <w:t>体</w:t>
      </w:r>
    </w:p>
    <w:p>
      <w:pPr>
        <w:pStyle w:val="34"/>
        <w:keepNext w:val="0"/>
        <w:keepLines w:val="0"/>
        <w:pageBreakBefore w:val="0"/>
        <w:widowControl w:val="0"/>
        <w:kinsoku/>
        <w:wordWrap/>
        <w:overflowPunct/>
        <w:topLinePunct w:val="0"/>
        <w:autoSpaceDE/>
        <w:autoSpaceDN/>
        <w:bidi w:val="0"/>
        <w:adjustRightInd/>
        <w:snapToGrid/>
        <w:spacing w:before="312" w:after="313" w:afterLines="100"/>
        <w:textAlignment w:val="auto"/>
        <w:outlineLvl w:val="0"/>
        <w:rPr>
          <w:rFonts w:hint="eastAsia" w:ascii="方正小标宋_GBK" w:hAnsi="方正小标宋_GBK" w:eastAsia="方正小标宋_GBK" w:cs="方正小标宋_GBK"/>
          <w:b/>
          <w:bCs/>
          <w:color w:val="auto"/>
          <w:sz w:val="44"/>
          <w:szCs w:val="44"/>
          <w:lang w:val="en-US" w:eastAsia="zh-CN"/>
        </w:rPr>
      </w:pPr>
      <w:r>
        <w:rPr>
          <w:rFonts w:hint="eastAsia" w:ascii="方正小标宋_GBK" w:hAnsi="方正小标宋_GBK" w:eastAsia="方正小标宋_GBK" w:cs="方正小标宋_GBK"/>
          <w:b/>
          <w:bCs/>
          <w:color w:val="auto"/>
          <w:sz w:val="44"/>
          <w:szCs w:val="44"/>
          <w:lang w:val="en-US" w:eastAsia="zh-CN"/>
        </w:rPr>
        <w:t>系</w:t>
      </w:r>
    </w:p>
    <w:p>
      <w:pPr>
        <w:pStyle w:val="34"/>
        <w:keepNext w:val="0"/>
        <w:keepLines w:val="0"/>
        <w:pageBreakBefore w:val="0"/>
        <w:widowControl w:val="0"/>
        <w:kinsoku/>
        <w:wordWrap/>
        <w:overflowPunct/>
        <w:topLinePunct w:val="0"/>
        <w:autoSpaceDE/>
        <w:autoSpaceDN/>
        <w:bidi w:val="0"/>
        <w:adjustRightInd/>
        <w:snapToGrid/>
        <w:spacing w:before="312" w:after="313" w:afterLines="100"/>
        <w:textAlignment w:val="auto"/>
        <w:outlineLvl w:val="0"/>
        <w:rPr>
          <w:rFonts w:hint="eastAsia" w:ascii="方正小标宋_GBK" w:hAnsi="方正小标宋_GBK" w:eastAsia="方正小标宋_GBK" w:cs="方正小标宋_GBK"/>
          <w:b/>
          <w:bCs/>
          <w:color w:val="auto"/>
          <w:sz w:val="44"/>
          <w:szCs w:val="44"/>
          <w:lang w:eastAsia="zh-CN"/>
        </w:rPr>
      </w:pPr>
      <w:r>
        <w:rPr>
          <w:rFonts w:hint="eastAsia" w:ascii="方正小标宋_GBK" w:hAnsi="方正小标宋_GBK" w:eastAsia="方正小标宋_GBK" w:cs="方正小标宋_GBK"/>
          <w:b/>
          <w:bCs/>
          <w:color w:val="auto"/>
          <w:sz w:val="44"/>
          <w:szCs w:val="44"/>
          <w:lang w:eastAsia="zh-CN"/>
        </w:rPr>
        <w:t>汇</w:t>
      </w:r>
    </w:p>
    <w:p>
      <w:pPr>
        <w:pStyle w:val="34"/>
        <w:keepNext w:val="0"/>
        <w:keepLines w:val="0"/>
        <w:pageBreakBefore w:val="0"/>
        <w:widowControl w:val="0"/>
        <w:kinsoku/>
        <w:wordWrap/>
        <w:overflowPunct/>
        <w:topLinePunct w:val="0"/>
        <w:autoSpaceDE/>
        <w:autoSpaceDN/>
        <w:bidi w:val="0"/>
        <w:adjustRightInd/>
        <w:snapToGrid/>
        <w:spacing w:before="312" w:after="313" w:afterLines="100"/>
        <w:textAlignment w:val="auto"/>
        <w:outlineLvl w:val="0"/>
        <w:rPr>
          <w:rFonts w:hint="eastAsia" w:ascii="方正小标宋_GBK" w:hAnsi="方正小标宋_GBK" w:eastAsia="方正小标宋_GBK" w:cs="方正小标宋_GBK"/>
          <w:b/>
          <w:bCs/>
          <w:color w:val="auto"/>
          <w:sz w:val="44"/>
          <w:szCs w:val="44"/>
          <w:lang w:eastAsia="zh-CN"/>
        </w:rPr>
      </w:pPr>
      <w:r>
        <w:rPr>
          <w:rFonts w:hint="eastAsia" w:ascii="方正小标宋_GBK" w:hAnsi="方正小标宋_GBK" w:eastAsia="方正小标宋_GBK" w:cs="方正小标宋_GBK"/>
          <w:b/>
          <w:bCs/>
          <w:color w:val="auto"/>
          <w:sz w:val="44"/>
          <w:szCs w:val="44"/>
          <w:lang w:eastAsia="zh-CN"/>
        </w:rPr>
        <w:t>编</w:t>
      </w:r>
    </w:p>
    <w:p>
      <w:pPr>
        <w:pStyle w:val="34"/>
        <w:keepNext w:val="0"/>
        <w:keepLines w:val="0"/>
        <w:pageBreakBefore w:val="0"/>
        <w:widowControl w:val="0"/>
        <w:kinsoku/>
        <w:wordWrap/>
        <w:overflowPunct/>
        <w:topLinePunct w:val="0"/>
        <w:autoSpaceDE/>
        <w:autoSpaceDN/>
        <w:bidi w:val="0"/>
        <w:adjustRightInd/>
        <w:snapToGrid/>
        <w:spacing w:beforeLines="0" w:afterLines="0" w:line="520" w:lineRule="exact"/>
        <w:ind w:firstLine="1928" w:firstLineChars="600"/>
        <w:jc w:val="both"/>
        <w:textAlignment w:val="auto"/>
        <w:rPr>
          <w:rFonts w:hint="eastAsia" w:ascii="方正小标宋_GBK" w:hAnsi="方正小标宋_GBK" w:eastAsia="方正小标宋_GBK" w:cs="方正小标宋_GBK"/>
          <w:b/>
          <w:bCs/>
          <w:color w:val="auto"/>
          <w:sz w:val="32"/>
          <w:szCs w:val="32"/>
          <w:lang w:eastAsia="zh-CN"/>
        </w:rPr>
      </w:pPr>
      <w:r>
        <w:rPr>
          <w:rFonts w:hint="eastAsia" w:ascii="方正小标宋_GBK" w:hAnsi="方正小标宋_GBK" w:eastAsia="方正小标宋_GBK" w:cs="方正小标宋_GBK"/>
          <w:b/>
          <w:bCs/>
          <w:color w:val="auto"/>
          <w:sz w:val="32"/>
          <w:szCs w:val="32"/>
          <w:lang w:eastAsia="zh-CN"/>
        </w:rPr>
        <w:t>编制：</w:t>
      </w:r>
      <w:r>
        <w:rPr>
          <w:rFonts w:hint="eastAsia" w:ascii="方正小标宋_GBK" w:hAnsi="方正小标宋_GBK" w:eastAsia="方正小标宋_GBK" w:cs="方正小标宋_GBK"/>
          <w:b/>
          <w:bCs/>
          <w:color w:val="auto"/>
          <w:sz w:val="32"/>
          <w:szCs w:val="32"/>
          <w:lang w:val="en-US" w:eastAsia="zh-CN"/>
        </w:rPr>
        <w:t xml:space="preserve">  安全</w:t>
      </w:r>
      <w:r>
        <w:rPr>
          <w:rFonts w:hint="eastAsia" w:ascii="方正小标宋_GBK" w:hAnsi="方正小标宋_GBK" w:eastAsia="方正小标宋_GBK" w:cs="方正小标宋_GBK"/>
          <w:b/>
          <w:bCs/>
          <w:color w:val="auto"/>
          <w:sz w:val="32"/>
          <w:szCs w:val="32"/>
          <w:lang w:eastAsia="zh-CN"/>
        </w:rPr>
        <w:t>部</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1928" w:firstLineChars="600"/>
        <w:textAlignment w:val="auto"/>
        <w:rPr>
          <w:rFonts w:hint="eastAsia" w:ascii="方正小标宋_GBK" w:hAnsi="方正小标宋_GBK" w:eastAsia="方正小标宋_GBK" w:cs="方正小标宋_GBK"/>
          <w:b/>
          <w:bCs/>
          <w:color w:val="auto"/>
          <w:sz w:val="32"/>
          <w:szCs w:val="32"/>
          <w:lang w:val="en-US" w:eastAsia="zh-CN"/>
        </w:rPr>
      </w:pPr>
      <w:r>
        <w:rPr>
          <w:rFonts w:hint="eastAsia" w:ascii="方正小标宋_GBK" w:hAnsi="方正小标宋_GBK" w:eastAsia="方正小标宋_GBK" w:cs="方正小标宋_GBK"/>
          <w:b/>
          <w:bCs/>
          <w:color w:val="auto"/>
          <w:sz w:val="32"/>
          <w:szCs w:val="32"/>
          <w:lang w:eastAsia="zh-CN"/>
        </w:rPr>
        <w:t>审</w:t>
      </w:r>
      <w:r>
        <w:rPr>
          <w:rFonts w:hint="eastAsia" w:ascii="方正小标宋_GBK" w:hAnsi="方正小标宋_GBK" w:eastAsia="方正小标宋_GBK" w:cs="方正小标宋_GBK"/>
          <w:b/>
          <w:bCs/>
          <w:color w:val="auto"/>
          <w:sz w:val="32"/>
          <w:szCs w:val="32"/>
          <w:lang w:val="en-US" w:eastAsia="zh-CN"/>
        </w:rPr>
        <w:t>核</w:t>
      </w:r>
      <w:r>
        <w:rPr>
          <w:rFonts w:hint="eastAsia" w:ascii="方正小标宋_GBK" w:hAnsi="方正小标宋_GBK" w:eastAsia="方正小标宋_GBK" w:cs="方正小标宋_GBK"/>
          <w:b/>
          <w:bCs/>
          <w:color w:val="auto"/>
          <w:sz w:val="32"/>
          <w:szCs w:val="32"/>
          <w:lang w:eastAsia="zh-CN"/>
        </w:rPr>
        <w:t>：</w:t>
      </w:r>
      <w:r>
        <w:rPr>
          <w:rFonts w:hint="eastAsia" w:ascii="方正小标宋_GBK" w:hAnsi="方正小标宋_GBK" w:eastAsia="方正小标宋_GBK" w:cs="方正小标宋_GBK"/>
          <w:b/>
          <w:bCs/>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1928" w:firstLineChars="600"/>
        <w:textAlignment w:val="auto"/>
        <w:rPr>
          <w:rFonts w:hint="default" w:ascii="方正小标宋_GBK" w:hAnsi="方正小标宋_GBK" w:eastAsia="方正小标宋_GBK" w:cs="方正小标宋_GBK"/>
          <w:b/>
          <w:bCs/>
          <w:color w:val="auto"/>
          <w:sz w:val="32"/>
          <w:szCs w:val="32"/>
          <w:lang w:val="en-US" w:eastAsia="zh-CN"/>
        </w:rPr>
      </w:pPr>
      <w:r>
        <w:rPr>
          <w:rFonts w:hint="eastAsia" w:ascii="方正小标宋_GBK" w:hAnsi="方正小标宋_GBK" w:eastAsia="方正小标宋_GBK" w:cs="方正小标宋_GBK"/>
          <w:b/>
          <w:bCs/>
          <w:color w:val="auto"/>
          <w:sz w:val="32"/>
          <w:szCs w:val="32"/>
          <w:lang w:val="en-US" w:eastAsia="zh-CN"/>
        </w:rPr>
        <w:t xml:space="preserve">审批：  </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1928" w:firstLineChars="600"/>
        <w:textAlignment w:val="auto"/>
        <w:rPr>
          <w:rFonts w:hint="eastAsia" w:ascii="方正小标宋_GBK" w:hAnsi="方正小标宋_GBK" w:eastAsia="方正小标宋_GBK" w:cs="方正小标宋_GBK"/>
          <w:b/>
          <w:bCs/>
          <w:color w:val="auto"/>
          <w:sz w:val="32"/>
          <w:szCs w:val="32"/>
          <w:lang w:eastAsia="zh-CN"/>
        </w:rPr>
      </w:pPr>
      <w:r>
        <w:rPr>
          <w:rFonts w:hint="eastAsia" w:ascii="方正小标宋_GBK" w:hAnsi="方正小标宋_GBK" w:eastAsia="方正小标宋_GBK" w:cs="方正小标宋_GBK"/>
          <w:b/>
          <w:bCs/>
          <w:color w:val="auto"/>
          <w:sz w:val="32"/>
          <w:szCs w:val="32"/>
          <w:lang w:eastAsia="zh-CN"/>
        </w:rPr>
        <w:t>签发：</w:t>
      </w:r>
      <w:r>
        <w:rPr>
          <w:rFonts w:hint="eastAsia" w:ascii="方正小标宋_GBK" w:hAnsi="方正小标宋_GBK" w:eastAsia="方正小标宋_GBK" w:cs="方正小标宋_GBK"/>
          <w:b/>
          <w:bCs/>
          <w:color w:val="auto"/>
          <w:sz w:val="32"/>
          <w:szCs w:val="32"/>
          <w:lang w:val="en-US" w:eastAsia="zh-CN"/>
        </w:rPr>
        <w:t xml:space="preserve">  </w:t>
      </w:r>
    </w:p>
    <w:p>
      <w:pPr>
        <w:ind w:firstLine="1928" w:firstLineChars="600"/>
        <w:rPr>
          <w:rFonts w:hint="eastAsia" w:ascii="方正小标宋_GBK" w:hAnsi="方正小标宋_GBK" w:eastAsia="方正小标宋_GBK" w:cs="方正小标宋_GBK"/>
          <w:b/>
          <w:bCs/>
          <w:color w:val="auto"/>
          <w:sz w:val="32"/>
          <w:szCs w:val="32"/>
          <w:lang w:val="en-US" w:eastAsia="zh-CN"/>
        </w:rPr>
      </w:pPr>
    </w:p>
    <w:p>
      <w:pPr>
        <w:ind w:firstLine="1928" w:firstLineChars="600"/>
        <w:rPr>
          <w:rFonts w:hint="eastAsia" w:ascii="方正小标宋_GBK" w:hAnsi="方正小标宋_GBK" w:eastAsia="方正小标宋_GBK" w:cs="方正小标宋_GBK"/>
          <w:b/>
          <w:bCs/>
          <w:color w:val="auto"/>
          <w:sz w:val="32"/>
          <w:szCs w:val="32"/>
          <w:lang w:val="en-US" w:eastAsia="zh-CN"/>
        </w:rPr>
      </w:pPr>
      <w:r>
        <w:rPr>
          <w:rFonts w:hint="eastAsia" w:ascii="方正小标宋_GBK" w:hAnsi="方正小标宋_GBK" w:eastAsia="方正小标宋_GBK" w:cs="方正小标宋_GBK"/>
          <w:b/>
          <w:bCs/>
          <w:color w:val="auto"/>
          <w:sz w:val="32"/>
          <w:szCs w:val="32"/>
          <w:lang w:val="en-US" w:eastAsia="zh-CN"/>
        </w:rPr>
        <w:t>2024年1月10日</w:t>
      </w:r>
    </w:p>
    <w:p>
      <w:pPr>
        <w:pStyle w:val="34"/>
        <w:spacing w:before="312" w:after="936"/>
        <w:jc w:val="both"/>
        <w:rPr>
          <w:rFonts w:hint="eastAsia" w:ascii="方正小标宋简体" w:hAnsi="方正小标宋简体" w:eastAsia="方正小标宋简体" w:cs="方正小标宋简体"/>
          <w:b/>
          <w:bCs/>
          <w:color w:val="auto"/>
          <w:sz w:val="32"/>
          <w:szCs w:val="32"/>
          <w:lang w:eastAsia="zh-CN"/>
        </w:rPr>
      </w:pPr>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b/>
          <w:bCs/>
          <w:color w:val="auto"/>
          <w:kern w:val="2"/>
          <w:sz w:val="21"/>
          <w:szCs w:val="24"/>
          <w:lang w:val="en-US"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425" w:num="1"/>
          <w:docGrid w:type="lines" w:linePitch="312" w:charSpace="0"/>
        </w:sectPr>
      </w:pPr>
    </w:p>
    <w:sdt>
      <w:sdtPr>
        <w:rPr>
          <w:rFonts w:ascii="宋体" w:hAnsi="宋体" w:eastAsia="宋体" w:cs="Times New Roman"/>
          <w:b/>
          <w:bCs/>
          <w:color w:val="auto"/>
          <w:kern w:val="2"/>
          <w:sz w:val="21"/>
          <w:szCs w:val="24"/>
          <w:lang w:val="en-US" w:eastAsia="zh-CN" w:bidi="ar-SA"/>
        </w:rPr>
        <w:id w:val="147456585"/>
        <w:docPartObj>
          <w:docPartGallery w:val="Table of Contents"/>
          <w:docPartUnique/>
        </w:docPartObj>
      </w:sdtPr>
      <w:sdtEndPr>
        <w:rPr>
          <w:rFonts w:hint="eastAsia" w:ascii="方正仿宋_GBK" w:hAnsi="方正仿宋_GBK" w:eastAsia="方正仿宋_GBK" w:cs="方正仿宋_GBK"/>
          <w:b/>
          <w:bCs/>
          <w:color w:val="auto"/>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b/>
              <w:bCs/>
              <w:color w:val="auto"/>
            </w:rPr>
          </w:pPr>
          <w:bookmarkStart w:id="0" w:name="_Toc16853_WPSOffice_Type2"/>
          <w:r>
            <w:rPr>
              <w:rFonts w:hint="eastAsia" w:ascii="方正黑体_GBK" w:hAnsi="方正黑体_GBK" w:eastAsia="方正黑体_GBK" w:cs="方正黑体_GBK"/>
              <w:b/>
              <w:bCs/>
              <w:color w:val="auto"/>
              <w:sz w:val="32"/>
              <w:szCs w:val="32"/>
            </w:rPr>
            <w:t>目</w:t>
          </w:r>
          <w:r>
            <w:rPr>
              <w:rFonts w:hint="eastAsia" w:ascii="方正黑体_GBK" w:hAnsi="方正黑体_GBK" w:eastAsia="方正黑体_GBK" w:cs="方正黑体_GBK"/>
              <w:b/>
              <w:bCs/>
              <w:color w:val="auto"/>
              <w:sz w:val="32"/>
              <w:szCs w:val="32"/>
              <w:lang w:val="en-US" w:eastAsia="zh-CN"/>
            </w:rPr>
            <w:t xml:space="preserve"> </w:t>
          </w:r>
          <w:r>
            <w:rPr>
              <w:rFonts w:hint="eastAsia" w:ascii="方正黑体_GBK" w:hAnsi="方正黑体_GBK" w:eastAsia="方正黑体_GBK" w:cs="方正黑体_GBK"/>
              <w:b/>
              <w:bCs/>
              <w:color w:val="auto"/>
              <w:sz w:val="32"/>
              <w:szCs w:val="32"/>
            </w:rPr>
            <w:t>录</w:t>
          </w:r>
        </w:p>
        <w:p>
          <w:pPr>
            <w:pStyle w:val="83"/>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_Toc16853_WPSOffice_Level1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6974708d-b5f4-4ee1-b522-16a6fcb478cf}"/>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1 总则</w:t>
              </w:r>
            </w:sdtContent>
          </w:sdt>
          <w:r>
            <w:rPr>
              <w:rFonts w:hint="eastAsia" w:ascii="方正仿宋_GBK" w:hAnsi="方正仿宋_GBK" w:eastAsia="方正仿宋_GBK" w:cs="方正仿宋_GBK"/>
              <w:b/>
              <w:bCs/>
              <w:color w:val="auto"/>
              <w:sz w:val="28"/>
              <w:szCs w:val="28"/>
            </w:rPr>
            <w:tab/>
          </w:r>
          <w:bookmarkStart w:id="1" w:name="_Toc16853_WPSOffice_Level1Page"/>
          <w:r>
            <w:rPr>
              <w:rFonts w:hint="eastAsia" w:ascii="方正仿宋_GBK" w:hAnsi="方正仿宋_GBK" w:eastAsia="方正仿宋_GBK" w:cs="方正仿宋_GBK"/>
              <w:b/>
              <w:bCs/>
              <w:color w:val="auto"/>
              <w:sz w:val="28"/>
              <w:szCs w:val="28"/>
            </w:rPr>
            <w:t>1</w:t>
          </w:r>
          <w:bookmarkEnd w:id="1"/>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_Toc16853_WPSOffice_Level2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7377616e-98e1-463a-8132-d8941a961121}"/>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1.1 目的</w:t>
              </w:r>
            </w:sdtContent>
          </w:sdt>
          <w:r>
            <w:rPr>
              <w:rFonts w:hint="eastAsia" w:ascii="方正仿宋_GBK" w:hAnsi="方正仿宋_GBK" w:eastAsia="方正仿宋_GBK" w:cs="方正仿宋_GBK"/>
              <w:b/>
              <w:bCs/>
              <w:color w:val="auto"/>
              <w:sz w:val="28"/>
              <w:szCs w:val="28"/>
            </w:rPr>
            <w:tab/>
          </w:r>
          <w:bookmarkStart w:id="2" w:name="_Toc16853_WPSOffice_Level2Page"/>
          <w:r>
            <w:rPr>
              <w:rFonts w:hint="eastAsia" w:ascii="方正仿宋_GBK" w:hAnsi="方正仿宋_GBK" w:eastAsia="方正仿宋_GBK" w:cs="方正仿宋_GBK"/>
              <w:b/>
              <w:bCs/>
              <w:color w:val="auto"/>
              <w:sz w:val="28"/>
              <w:szCs w:val="28"/>
            </w:rPr>
            <w:t>1</w:t>
          </w:r>
          <w:bookmarkEnd w:id="2"/>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_Toc30787_WPSOffice_Level2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63c4552e-eb61-4756-99f8-67565aa912fa}"/>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1.2 依据</w:t>
              </w:r>
            </w:sdtContent>
          </w:sdt>
          <w:r>
            <w:rPr>
              <w:rFonts w:hint="eastAsia" w:ascii="方正仿宋_GBK" w:hAnsi="方正仿宋_GBK" w:eastAsia="方正仿宋_GBK" w:cs="方正仿宋_GBK"/>
              <w:b/>
              <w:bCs/>
              <w:color w:val="auto"/>
              <w:sz w:val="28"/>
              <w:szCs w:val="28"/>
            </w:rPr>
            <w:tab/>
          </w:r>
          <w:bookmarkStart w:id="3" w:name="_Toc30787_WPSOffice_Level2Page"/>
          <w:r>
            <w:rPr>
              <w:rFonts w:hint="eastAsia" w:ascii="方正仿宋_GBK" w:hAnsi="方正仿宋_GBK" w:eastAsia="方正仿宋_GBK" w:cs="方正仿宋_GBK"/>
              <w:b/>
              <w:bCs/>
              <w:color w:val="auto"/>
              <w:sz w:val="28"/>
              <w:szCs w:val="28"/>
            </w:rPr>
            <w:t>1</w:t>
          </w:r>
          <w:bookmarkEnd w:id="3"/>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_Toc5191_WPSOffice_Level2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245ade77-08b0-433a-969a-d7210916128a}"/>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1.3 适用范围</w:t>
              </w:r>
            </w:sdtContent>
          </w:sdt>
          <w:r>
            <w:rPr>
              <w:rFonts w:hint="eastAsia" w:ascii="方正仿宋_GBK" w:hAnsi="方正仿宋_GBK" w:eastAsia="方正仿宋_GBK" w:cs="方正仿宋_GBK"/>
              <w:b/>
              <w:bCs/>
              <w:color w:val="auto"/>
              <w:sz w:val="28"/>
              <w:szCs w:val="28"/>
            </w:rPr>
            <w:tab/>
          </w:r>
          <w:bookmarkStart w:id="4" w:name="_Toc5191_WPSOffice_Level2Page"/>
          <w:r>
            <w:rPr>
              <w:rFonts w:hint="eastAsia" w:ascii="方正仿宋_GBK" w:hAnsi="方正仿宋_GBK" w:eastAsia="方正仿宋_GBK" w:cs="方正仿宋_GBK"/>
              <w:b/>
              <w:bCs/>
              <w:color w:val="auto"/>
              <w:sz w:val="28"/>
              <w:szCs w:val="28"/>
            </w:rPr>
            <w:t>1</w:t>
          </w:r>
          <w:bookmarkEnd w:id="4"/>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_Toc20288_WPSOffice_Level2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b3a462bd-f241-4d99-af00-f006d7daba8e}"/>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1.4 管理原则</w:t>
              </w:r>
            </w:sdtContent>
          </w:sdt>
          <w:r>
            <w:rPr>
              <w:rFonts w:hint="eastAsia" w:ascii="方正仿宋_GBK" w:hAnsi="方正仿宋_GBK" w:eastAsia="方正仿宋_GBK" w:cs="方正仿宋_GBK"/>
              <w:b/>
              <w:bCs/>
              <w:color w:val="auto"/>
              <w:sz w:val="28"/>
              <w:szCs w:val="28"/>
            </w:rPr>
            <w:tab/>
          </w:r>
          <w:bookmarkStart w:id="5" w:name="_Toc20288_WPSOffice_Level2Page"/>
          <w:r>
            <w:rPr>
              <w:rFonts w:hint="eastAsia" w:ascii="方正仿宋_GBK" w:hAnsi="方正仿宋_GBK" w:eastAsia="方正仿宋_GBK" w:cs="方正仿宋_GBK"/>
              <w:b/>
              <w:bCs/>
              <w:color w:val="auto"/>
              <w:sz w:val="28"/>
              <w:szCs w:val="28"/>
            </w:rPr>
            <w:t>1</w:t>
          </w:r>
          <w:bookmarkEnd w:id="5"/>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_Toc19064_WPSOffice_Level2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71e97057-bbfe-4c36-8592-6b15b15b22b2}"/>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1.5 主要应对的风险</w:t>
              </w:r>
            </w:sdtContent>
          </w:sdt>
          <w:r>
            <w:rPr>
              <w:rFonts w:hint="eastAsia" w:ascii="方正仿宋_GBK" w:hAnsi="方正仿宋_GBK" w:eastAsia="方正仿宋_GBK" w:cs="方正仿宋_GBK"/>
              <w:b/>
              <w:bCs/>
              <w:color w:val="auto"/>
              <w:sz w:val="28"/>
              <w:szCs w:val="28"/>
            </w:rPr>
            <w:tab/>
          </w:r>
          <w:bookmarkStart w:id="6" w:name="_Toc19064_WPSOffice_Level2Page"/>
          <w:r>
            <w:rPr>
              <w:rFonts w:hint="eastAsia" w:ascii="方正仿宋_GBK" w:hAnsi="方正仿宋_GBK" w:eastAsia="方正仿宋_GBK" w:cs="方正仿宋_GBK"/>
              <w:b/>
              <w:bCs/>
              <w:color w:val="auto"/>
              <w:sz w:val="28"/>
              <w:szCs w:val="28"/>
            </w:rPr>
            <w:t>1</w:t>
          </w:r>
          <w:bookmarkEnd w:id="6"/>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_Toc2263_WPSOffice_Level2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69331a6b-75f3-4f16-a518-f38040ca7bee}"/>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1.6 定义与术语</w:t>
              </w:r>
            </w:sdtContent>
          </w:sdt>
          <w:r>
            <w:rPr>
              <w:rFonts w:hint="eastAsia" w:ascii="方正仿宋_GBK" w:hAnsi="方正仿宋_GBK" w:eastAsia="方正仿宋_GBK" w:cs="方正仿宋_GBK"/>
              <w:b/>
              <w:bCs/>
              <w:color w:val="auto"/>
              <w:sz w:val="28"/>
              <w:szCs w:val="28"/>
            </w:rPr>
            <w:tab/>
          </w:r>
          <w:bookmarkStart w:id="7" w:name="_Toc2263_WPSOffice_Level2Page"/>
          <w:r>
            <w:rPr>
              <w:rFonts w:hint="eastAsia" w:ascii="方正仿宋_GBK" w:hAnsi="方正仿宋_GBK" w:eastAsia="方正仿宋_GBK" w:cs="方正仿宋_GBK"/>
              <w:b/>
              <w:bCs/>
              <w:color w:val="auto"/>
              <w:sz w:val="28"/>
              <w:szCs w:val="28"/>
            </w:rPr>
            <w:t>2</w:t>
          </w:r>
          <w:bookmarkEnd w:id="7"/>
          <w:r>
            <w:rPr>
              <w:rFonts w:hint="eastAsia" w:ascii="方正仿宋_GBK" w:hAnsi="方正仿宋_GBK" w:eastAsia="方正仿宋_GBK" w:cs="方正仿宋_GBK"/>
              <w:b/>
              <w:bCs/>
              <w:color w:val="auto"/>
              <w:sz w:val="28"/>
              <w:szCs w:val="28"/>
            </w:rPr>
            <w:fldChar w:fldCharType="end"/>
          </w:r>
        </w:p>
        <w:p>
          <w:pPr>
            <w:pStyle w:val="83"/>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_Toc30787_WPSOffice_Level1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bbe567ae-73da-4f24-9ce1-d204382229ec}"/>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2 安全管理组织</w:t>
              </w:r>
            </w:sdtContent>
          </w:sdt>
          <w:r>
            <w:rPr>
              <w:rFonts w:hint="eastAsia" w:ascii="方正仿宋_GBK" w:hAnsi="方正仿宋_GBK" w:eastAsia="方正仿宋_GBK" w:cs="方正仿宋_GBK"/>
              <w:b/>
              <w:bCs/>
              <w:color w:val="auto"/>
              <w:sz w:val="28"/>
              <w:szCs w:val="28"/>
            </w:rPr>
            <w:tab/>
          </w:r>
          <w:bookmarkStart w:id="8" w:name="_Toc30787_WPSOffice_Level1Page"/>
          <w:r>
            <w:rPr>
              <w:rFonts w:hint="eastAsia" w:ascii="方正仿宋_GBK" w:hAnsi="方正仿宋_GBK" w:eastAsia="方正仿宋_GBK" w:cs="方正仿宋_GBK"/>
              <w:b/>
              <w:bCs/>
              <w:color w:val="auto"/>
              <w:sz w:val="28"/>
              <w:szCs w:val="28"/>
            </w:rPr>
            <w:t>3</w:t>
          </w:r>
          <w:bookmarkEnd w:id="8"/>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_Toc24656_WPSOffice_Level2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23a984be-8c9b-4b8d-91ba-5121ca93c078}"/>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2.1 公司安全管理组织</w:t>
              </w:r>
            </w:sdtContent>
          </w:sdt>
          <w:r>
            <w:rPr>
              <w:rFonts w:hint="eastAsia" w:ascii="方正仿宋_GBK" w:hAnsi="方正仿宋_GBK" w:eastAsia="方正仿宋_GBK" w:cs="方正仿宋_GBK"/>
              <w:b/>
              <w:bCs/>
              <w:color w:val="auto"/>
              <w:sz w:val="28"/>
              <w:szCs w:val="28"/>
            </w:rPr>
            <w:tab/>
          </w:r>
          <w:bookmarkStart w:id="9" w:name="_Toc24656_WPSOffice_Level2Page"/>
          <w:r>
            <w:rPr>
              <w:rFonts w:hint="eastAsia" w:ascii="方正仿宋_GBK" w:hAnsi="方正仿宋_GBK" w:eastAsia="方正仿宋_GBK" w:cs="方正仿宋_GBK"/>
              <w:b/>
              <w:bCs/>
              <w:color w:val="auto"/>
              <w:sz w:val="28"/>
              <w:szCs w:val="28"/>
            </w:rPr>
            <w:t>3</w:t>
          </w:r>
          <w:bookmarkEnd w:id="9"/>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_Toc31254_WPSOffice_Level2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c7d425a8-3993-4d62-9af5-ca06d8bb7f0d}"/>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2.2 子公司机构安全管理组织</w:t>
              </w:r>
            </w:sdtContent>
          </w:sdt>
          <w:r>
            <w:rPr>
              <w:rFonts w:hint="eastAsia" w:ascii="方正仿宋_GBK" w:hAnsi="方正仿宋_GBK" w:eastAsia="方正仿宋_GBK" w:cs="方正仿宋_GBK"/>
              <w:b/>
              <w:bCs/>
              <w:color w:val="auto"/>
              <w:sz w:val="28"/>
              <w:szCs w:val="28"/>
            </w:rPr>
            <w:tab/>
          </w:r>
          <w:bookmarkStart w:id="10" w:name="_Toc31254_WPSOffice_Level2Page"/>
          <w:r>
            <w:rPr>
              <w:rFonts w:hint="eastAsia" w:ascii="方正仿宋_GBK" w:hAnsi="方正仿宋_GBK" w:eastAsia="方正仿宋_GBK" w:cs="方正仿宋_GBK"/>
              <w:b/>
              <w:bCs/>
              <w:color w:val="auto"/>
              <w:sz w:val="28"/>
              <w:szCs w:val="28"/>
            </w:rPr>
            <w:t>4</w:t>
          </w:r>
          <w:bookmarkEnd w:id="10"/>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_Toc1124_WPSOffice_Level2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b9bf7d7b-f5c8-4f0f-9a6b-d58300a6bb0d}"/>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 xml:space="preserve">2.3 </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安全管理组织</w:t>
              </w:r>
            </w:sdtContent>
          </w:sdt>
          <w:r>
            <w:rPr>
              <w:rFonts w:hint="eastAsia" w:ascii="方正仿宋_GBK" w:hAnsi="方正仿宋_GBK" w:eastAsia="方正仿宋_GBK" w:cs="方正仿宋_GBK"/>
              <w:b/>
              <w:bCs/>
              <w:color w:val="auto"/>
              <w:sz w:val="28"/>
              <w:szCs w:val="28"/>
            </w:rPr>
            <w:tab/>
          </w:r>
          <w:bookmarkStart w:id="11" w:name="_Toc1124_WPSOffice_Level2Page"/>
          <w:r>
            <w:rPr>
              <w:rFonts w:hint="eastAsia" w:ascii="方正仿宋_GBK" w:hAnsi="方正仿宋_GBK" w:eastAsia="方正仿宋_GBK" w:cs="方正仿宋_GBK"/>
              <w:b/>
              <w:bCs/>
              <w:color w:val="auto"/>
              <w:sz w:val="28"/>
              <w:szCs w:val="28"/>
            </w:rPr>
            <w:t>5</w:t>
          </w:r>
          <w:bookmarkEnd w:id="11"/>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_Toc30221_WPSOffice_Level2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b1e71989-941e-4991-91d5-d8c914317183}"/>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2.4 安全管理团队建设</w:t>
              </w:r>
            </w:sdtContent>
          </w:sdt>
          <w:r>
            <w:rPr>
              <w:rFonts w:hint="eastAsia" w:ascii="方正仿宋_GBK" w:hAnsi="方正仿宋_GBK" w:eastAsia="方正仿宋_GBK" w:cs="方正仿宋_GBK"/>
              <w:b/>
              <w:bCs/>
              <w:color w:val="auto"/>
              <w:sz w:val="28"/>
              <w:szCs w:val="28"/>
            </w:rPr>
            <w:tab/>
          </w:r>
          <w:bookmarkStart w:id="12" w:name="_Toc30221_WPSOffice_Level2Page"/>
          <w:r>
            <w:rPr>
              <w:rFonts w:hint="eastAsia" w:ascii="方正仿宋_GBK" w:hAnsi="方正仿宋_GBK" w:eastAsia="方正仿宋_GBK" w:cs="方正仿宋_GBK"/>
              <w:b/>
              <w:bCs/>
              <w:color w:val="auto"/>
              <w:sz w:val="28"/>
              <w:szCs w:val="28"/>
            </w:rPr>
            <w:t>6</w:t>
          </w:r>
          <w:bookmarkEnd w:id="12"/>
          <w:r>
            <w:rPr>
              <w:rFonts w:hint="eastAsia" w:ascii="方正仿宋_GBK" w:hAnsi="方正仿宋_GBK" w:eastAsia="方正仿宋_GBK" w:cs="方正仿宋_GBK"/>
              <w:b/>
              <w:bCs/>
              <w:color w:val="auto"/>
              <w:sz w:val="28"/>
              <w:szCs w:val="28"/>
            </w:rPr>
            <w:fldChar w:fldCharType="end"/>
          </w:r>
        </w:p>
        <w:p>
          <w:pPr>
            <w:pStyle w:val="83"/>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_Toc5191_WPSOffice_Level1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da0f9276-4029-4eb2-9abe-9a5cc7babdc1}"/>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3 安全生产责任</w:t>
              </w:r>
            </w:sdtContent>
          </w:sdt>
          <w:r>
            <w:rPr>
              <w:rFonts w:hint="eastAsia" w:ascii="方正仿宋_GBK" w:hAnsi="方正仿宋_GBK" w:eastAsia="方正仿宋_GBK" w:cs="方正仿宋_GBK"/>
              <w:b/>
              <w:bCs/>
              <w:color w:val="auto"/>
              <w:sz w:val="28"/>
              <w:szCs w:val="28"/>
            </w:rPr>
            <w:tab/>
          </w:r>
          <w:bookmarkStart w:id="13" w:name="_Toc5191_WPSOffice_Level1Page"/>
          <w:r>
            <w:rPr>
              <w:rFonts w:hint="eastAsia" w:ascii="方正仿宋_GBK" w:hAnsi="方正仿宋_GBK" w:eastAsia="方正仿宋_GBK" w:cs="方正仿宋_GBK"/>
              <w:b/>
              <w:bCs/>
              <w:color w:val="auto"/>
              <w:sz w:val="28"/>
              <w:szCs w:val="28"/>
            </w:rPr>
            <w:t>6</w:t>
          </w:r>
          <w:bookmarkEnd w:id="13"/>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_Toc26889_WPSOffice_Level2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8483b21a-ecfb-4733-9a34-f792b50682c1}"/>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3.1 安全管理体系</w:t>
              </w:r>
            </w:sdtContent>
          </w:sdt>
          <w:r>
            <w:rPr>
              <w:rFonts w:hint="eastAsia" w:ascii="方正仿宋_GBK" w:hAnsi="方正仿宋_GBK" w:eastAsia="方正仿宋_GBK" w:cs="方正仿宋_GBK"/>
              <w:b/>
              <w:bCs/>
              <w:color w:val="auto"/>
              <w:sz w:val="28"/>
              <w:szCs w:val="28"/>
            </w:rPr>
            <w:tab/>
          </w:r>
          <w:bookmarkStart w:id="14" w:name="_Toc26889_WPSOffice_Level2Page"/>
          <w:r>
            <w:rPr>
              <w:rFonts w:hint="eastAsia" w:ascii="方正仿宋_GBK" w:hAnsi="方正仿宋_GBK" w:eastAsia="方正仿宋_GBK" w:cs="方正仿宋_GBK"/>
              <w:b/>
              <w:bCs/>
              <w:color w:val="auto"/>
              <w:sz w:val="28"/>
              <w:szCs w:val="28"/>
            </w:rPr>
            <w:t>6</w:t>
          </w:r>
          <w:bookmarkEnd w:id="14"/>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_Toc2845_WPSOffice_Level2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a833bf63-12be-4d34-85d2-2f8ea6066d6d}"/>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3.2 安全生产责任制</w:t>
              </w:r>
            </w:sdtContent>
          </w:sdt>
          <w:r>
            <w:rPr>
              <w:rFonts w:hint="eastAsia" w:ascii="方正仿宋_GBK" w:hAnsi="方正仿宋_GBK" w:eastAsia="方正仿宋_GBK" w:cs="方正仿宋_GBK"/>
              <w:b/>
              <w:bCs/>
              <w:color w:val="auto"/>
              <w:sz w:val="28"/>
              <w:szCs w:val="28"/>
            </w:rPr>
            <w:tab/>
          </w:r>
          <w:bookmarkStart w:id="15" w:name="_Toc2845_WPSOffice_Level2Page"/>
          <w:r>
            <w:rPr>
              <w:rFonts w:hint="eastAsia" w:ascii="方正仿宋_GBK" w:hAnsi="方正仿宋_GBK" w:eastAsia="方正仿宋_GBK" w:cs="方正仿宋_GBK"/>
              <w:b/>
              <w:bCs/>
              <w:color w:val="auto"/>
              <w:sz w:val="28"/>
              <w:szCs w:val="28"/>
            </w:rPr>
            <w:t>6</w:t>
          </w:r>
          <w:bookmarkEnd w:id="15"/>
          <w:r>
            <w:rPr>
              <w:rFonts w:hint="eastAsia" w:ascii="方正仿宋_GBK" w:hAnsi="方正仿宋_GBK" w:eastAsia="方正仿宋_GBK" w:cs="方正仿宋_GBK"/>
              <w:b/>
              <w:bCs/>
              <w:color w:val="auto"/>
              <w:sz w:val="28"/>
              <w:szCs w:val="28"/>
            </w:rPr>
            <w:fldChar w:fldCharType="end"/>
          </w:r>
        </w:p>
        <w:p>
          <w:pPr>
            <w:pStyle w:val="83"/>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_Toc20288_WPSOffice_Level1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b01f3ac7-708f-4f57-86fd-28d87e1daca8}"/>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4 安全规划与目标管理</w:t>
              </w:r>
            </w:sdtContent>
          </w:sdt>
          <w:r>
            <w:rPr>
              <w:rFonts w:hint="eastAsia" w:ascii="方正仿宋_GBK" w:hAnsi="方正仿宋_GBK" w:eastAsia="方正仿宋_GBK" w:cs="方正仿宋_GBK"/>
              <w:b/>
              <w:bCs/>
              <w:color w:val="auto"/>
              <w:sz w:val="28"/>
              <w:szCs w:val="28"/>
            </w:rPr>
            <w:tab/>
          </w:r>
          <w:bookmarkStart w:id="16" w:name="_Toc20288_WPSOffice_Level1Page"/>
          <w:r>
            <w:rPr>
              <w:rFonts w:hint="eastAsia" w:ascii="方正仿宋_GBK" w:hAnsi="方正仿宋_GBK" w:eastAsia="方正仿宋_GBK" w:cs="方正仿宋_GBK"/>
              <w:b/>
              <w:bCs/>
              <w:color w:val="auto"/>
              <w:sz w:val="28"/>
              <w:szCs w:val="28"/>
            </w:rPr>
            <w:t>8</w:t>
          </w:r>
          <w:bookmarkEnd w:id="16"/>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_Toc31482_WPSOffice_Level2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330ae440-5d4e-4211-80cc-2cf365b2c63d}"/>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4.1 安全发展规划</w:t>
              </w:r>
            </w:sdtContent>
          </w:sdt>
          <w:r>
            <w:rPr>
              <w:rFonts w:hint="eastAsia" w:ascii="方正仿宋_GBK" w:hAnsi="方正仿宋_GBK" w:eastAsia="方正仿宋_GBK" w:cs="方正仿宋_GBK"/>
              <w:b/>
              <w:bCs/>
              <w:color w:val="auto"/>
              <w:sz w:val="28"/>
              <w:szCs w:val="28"/>
            </w:rPr>
            <w:tab/>
          </w:r>
          <w:bookmarkStart w:id="17" w:name="_Toc31482_WPSOffice_Level2Page"/>
          <w:r>
            <w:rPr>
              <w:rFonts w:hint="eastAsia" w:ascii="方正仿宋_GBK" w:hAnsi="方正仿宋_GBK" w:eastAsia="方正仿宋_GBK" w:cs="方正仿宋_GBK"/>
              <w:b/>
              <w:bCs/>
              <w:color w:val="auto"/>
              <w:sz w:val="28"/>
              <w:szCs w:val="28"/>
            </w:rPr>
            <w:t>8</w:t>
          </w:r>
          <w:bookmarkEnd w:id="17"/>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_Toc5003_WPSOffice_Level2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8a22883c-167d-4ef8-a75d-637700cc0cdd}"/>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4.2 安全目标及分解</w:t>
              </w:r>
            </w:sdtContent>
          </w:sdt>
          <w:r>
            <w:rPr>
              <w:rFonts w:hint="eastAsia" w:ascii="方正仿宋_GBK" w:hAnsi="方正仿宋_GBK" w:eastAsia="方正仿宋_GBK" w:cs="方正仿宋_GBK"/>
              <w:b/>
              <w:bCs/>
              <w:color w:val="auto"/>
              <w:sz w:val="28"/>
              <w:szCs w:val="28"/>
            </w:rPr>
            <w:tab/>
          </w:r>
          <w:bookmarkStart w:id="18" w:name="_Toc5003_WPSOffice_Level2Page"/>
          <w:r>
            <w:rPr>
              <w:rFonts w:hint="eastAsia" w:ascii="方正仿宋_GBK" w:hAnsi="方正仿宋_GBK" w:eastAsia="方正仿宋_GBK" w:cs="方正仿宋_GBK"/>
              <w:b/>
              <w:bCs/>
              <w:color w:val="auto"/>
              <w:sz w:val="28"/>
              <w:szCs w:val="28"/>
            </w:rPr>
            <w:t>8</w:t>
          </w:r>
          <w:bookmarkEnd w:id="18"/>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_Toc4623_WPSOffice_Level2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4d960ec4-52e4-4623-875f-aeadc111c839}"/>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4.3 安全目标实施策划</w:t>
              </w:r>
            </w:sdtContent>
          </w:sdt>
          <w:r>
            <w:rPr>
              <w:rFonts w:hint="eastAsia" w:ascii="方正仿宋_GBK" w:hAnsi="方正仿宋_GBK" w:eastAsia="方正仿宋_GBK" w:cs="方正仿宋_GBK"/>
              <w:b/>
              <w:bCs/>
              <w:color w:val="auto"/>
              <w:sz w:val="28"/>
              <w:szCs w:val="28"/>
            </w:rPr>
            <w:tab/>
          </w:r>
          <w:bookmarkStart w:id="19" w:name="_Toc4623_WPSOffice_Level2Page"/>
          <w:r>
            <w:rPr>
              <w:rFonts w:hint="eastAsia" w:ascii="方正仿宋_GBK" w:hAnsi="方正仿宋_GBK" w:eastAsia="方正仿宋_GBK" w:cs="方正仿宋_GBK"/>
              <w:b/>
              <w:bCs/>
              <w:color w:val="auto"/>
              <w:sz w:val="28"/>
              <w:szCs w:val="28"/>
            </w:rPr>
            <w:t>8</w:t>
          </w:r>
          <w:bookmarkEnd w:id="19"/>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_Toc31694_WPSOffice_Level2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4fc4af67-4b86-4aac-a4de-a8553baeefe5}"/>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4.4 安全目标考核</w:t>
              </w:r>
            </w:sdtContent>
          </w:sdt>
          <w:r>
            <w:rPr>
              <w:rFonts w:hint="eastAsia" w:ascii="方正仿宋_GBK" w:hAnsi="方正仿宋_GBK" w:eastAsia="方正仿宋_GBK" w:cs="方正仿宋_GBK"/>
              <w:b/>
              <w:bCs/>
              <w:color w:val="auto"/>
              <w:sz w:val="28"/>
              <w:szCs w:val="28"/>
            </w:rPr>
            <w:tab/>
          </w:r>
          <w:bookmarkStart w:id="20" w:name="_Toc31694_WPSOffice_Level2Page"/>
          <w:r>
            <w:rPr>
              <w:rFonts w:hint="eastAsia" w:ascii="方正仿宋_GBK" w:hAnsi="方正仿宋_GBK" w:eastAsia="方正仿宋_GBK" w:cs="方正仿宋_GBK"/>
              <w:b/>
              <w:bCs/>
              <w:color w:val="auto"/>
              <w:sz w:val="28"/>
              <w:szCs w:val="28"/>
            </w:rPr>
            <w:t>9</w:t>
          </w:r>
          <w:bookmarkEnd w:id="20"/>
          <w:r>
            <w:rPr>
              <w:rFonts w:hint="eastAsia" w:ascii="方正仿宋_GBK" w:hAnsi="方正仿宋_GBK" w:eastAsia="方正仿宋_GBK" w:cs="方正仿宋_GBK"/>
              <w:b/>
              <w:bCs/>
              <w:color w:val="auto"/>
              <w:sz w:val="28"/>
              <w:szCs w:val="28"/>
            </w:rPr>
            <w:fldChar w:fldCharType="end"/>
          </w:r>
        </w:p>
        <w:p>
          <w:pPr>
            <w:pStyle w:val="83"/>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_Toc19064_WPSOffice_Level1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5f99eece-f263-40d0-ad21-343ed23cb988}"/>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5 安全生产费用管理</w:t>
              </w:r>
            </w:sdtContent>
          </w:sdt>
          <w:r>
            <w:rPr>
              <w:rFonts w:hint="eastAsia" w:ascii="方正仿宋_GBK" w:hAnsi="方正仿宋_GBK" w:eastAsia="方正仿宋_GBK" w:cs="方正仿宋_GBK"/>
              <w:b/>
              <w:bCs/>
              <w:color w:val="auto"/>
              <w:sz w:val="28"/>
              <w:szCs w:val="28"/>
            </w:rPr>
            <w:tab/>
          </w:r>
          <w:bookmarkStart w:id="21" w:name="_Toc19064_WPSOffice_Level1Page"/>
          <w:r>
            <w:rPr>
              <w:rFonts w:hint="eastAsia" w:ascii="方正仿宋_GBK" w:hAnsi="方正仿宋_GBK" w:eastAsia="方正仿宋_GBK" w:cs="方正仿宋_GBK"/>
              <w:b/>
              <w:bCs/>
              <w:color w:val="auto"/>
              <w:sz w:val="28"/>
              <w:szCs w:val="28"/>
            </w:rPr>
            <w:t>9</w:t>
          </w:r>
          <w:bookmarkEnd w:id="21"/>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_Toc5342_WPSOffice_Level2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1bef51f5-7faa-4af1-84ec-5e886326c95a}"/>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5.1 安全生产费用提取</w:t>
              </w:r>
            </w:sdtContent>
          </w:sdt>
          <w:r>
            <w:rPr>
              <w:rFonts w:hint="eastAsia" w:ascii="方正仿宋_GBK" w:hAnsi="方正仿宋_GBK" w:eastAsia="方正仿宋_GBK" w:cs="方正仿宋_GBK"/>
              <w:b/>
              <w:bCs/>
              <w:color w:val="auto"/>
              <w:sz w:val="28"/>
              <w:szCs w:val="28"/>
            </w:rPr>
            <w:tab/>
          </w:r>
          <w:bookmarkStart w:id="22" w:name="_Toc5342_WPSOffice_Level2Page"/>
          <w:r>
            <w:rPr>
              <w:rFonts w:hint="eastAsia" w:ascii="方正仿宋_GBK" w:hAnsi="方正仿宋_GBK" w:eastAsia="方正仿宋_GBK" w:cs="方正仿宋_GBK"/>
              <w:b/>
              <w:bCs/>
              <w:color w:val="auto"/>
              <w:sz w:val="28"/>
              <w:szCs w:val="28"/>
            </w:rPr>
            <w:t>9</w:t>
          </w:r>
          <w:bookmarkEnd w:id="22"/>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_Toc29750_WPSOffice_Level2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405e8b1c-0186-4e2f-902d-e7d7807a1f00}"/>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5.2 安全生产费用使用</w:t>
              </w:r>
            </w:sdtContent>
          </w:sdt>
          <w:r>
            <w:rPr>
              <w:rFonts w:hint="eastAsia" w:ascii="方正仿宋_GBK" w:hAnsi="方正仿宋_GBK" w:eastAsia="方正仿宋_GBK" w:cs="方正仿宋_GBK"/>
              <w:b/>
              <w:bCs/>
              <w:color w:val="auto"/>
              <w:sz w:val="28"/>
              <w:szCs w:val="28"/>
            </w:rPr>
            <w:tab/>
          </w:r>
          <w:bookmarkStart w:id="23" w:name="_Toc29750_WPSOffice_Level2Page"/>
          <w:r>
            <w:rPr>
              <w:rFonts w:hint="eastAsia" w:ascii="方正仿宋_GBK" w:hAnsi="方正仿宋_GBK" w:eastAsia="方正仿宋_GBK" w:cs="方正仿宋_GBK"/>
              <w:b/>
              <w:bCs/>
              <w:color w:val="auto"/>
              <w:sz w:val="28"/>
              <w:szCs w:val="28"/>
            </w:rPr>
            <w:t>9</w:t>
          </w:r>
          <w:bookmarkEnd w:id="23"/>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_Toc3649_WPSOffice_Level2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a4ce646c-d739-4eda-ab18-661174114614}"/>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5.3 安全生产费用统计</w:t>
              </w:r>
            </w:sdtContent>
          </w:sdt>
          <w:r>
            <w:rPr>
              <w:rFonts w:hint="eastAsia" w:ascii="方正仿宋_GBK" w:hAnsi="方正仿宋_GBK" w:eastAsia="方正仿宋_GBK" w:cs="方正仿宋_GBK"/>
              <w:b/>
              <w:bCs/>
              <w:color w:val="auto"/>
              <w:sz w:val="28"/>
              <w:szCs w:val="28"/>
            </w:rPr>
            <w:tab/>
          </w:r>
          <w:bookmarkStart w:id="24" w:name="_Toc3649_WPSOffice_Level2Page"/>
          <w:r>
            <w:rPr>
              <w:rFonts w:hint="eastAsia" w:ascii="方正仿宋_GBK" w:hAnsi="方正仿宋_GBK" w:eastAsia="方正仿宋_GBK" w:cs="方正仿宋_GBK"/>
              <w:b/>
              <w:bCs/>
              <w:color w:val="auto"/>
              <w:sz w:val="28"/>
              <w:szCs w:val="28"/>
            </w:rPr>
            <w:t>10</w:t>
          </w:r>
          <w:bookmarkEnd w:id="24"/>
          <w:r>
            <w:rPr>
              <w:rFonts w:hint="eastAsia" w:ascii="方正仿宋_GBK" w:hAnsi="方正仿宋_GBK" w:eastAsia="方正仿宋_GBK" w:cs="方正仿宋_GBK"/>
              <w:b/>
              <w:bCs/>
              <w:color w:val="auto"/>
              <w:sz w:val="28"/>
              <w:szCs w:val="28"/>
            </w:rPr>
            <w:fldChar w:fldCharType="end"/>
          </w:r>
        </w:p>
        <w:p>
          <w:pPr>
            <w:pStyle w:val="83"/>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_Toc2263_WPSOffice_Level1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6c71c743-1903-4c01-ac75-0495d3589e7d}"/>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6 危险源管理</w:t>
              </w:r>
            </w:sdtContent>
          </w:sdt>
          <w:r>
            <w:rPr>
              <w:rFonts w:hint="eastAsia" w:ascii="方正仿宋_GBK" w:hAnsi="方正仿宋_GBK" w:eastAsia="方正仿宋_GBK" w:cs="方正仿宋_GBK"/>
              <w:b/>
              <w:bCs/>
              <w:color w:val="auto"/>
              <w:sz w:val="28"/>
              <w:szCs w:val="28"/>
            </w:rPr>
            <w:tab/>
          </w:r>
          <w:bookmarkStart w:id="25" w:name="_Toc2263_WPSOffice_Level1Page"/>
          <w:r>
            <w:rPr>
              <w:rFonts w:hint="eastAsia" w:ascii="方正仿宋_GBK" w:hAnsi="方正仿宋_GBK" w:eastAsia="方正仿宋_GBK" w:cs="方正仿宋_GBK"/>
              <w:b/>
              <w:bCs/>
              <w:color w:val="auto"/>
              <w:sz w:val="28"/>
              <w:szCs w:val="28"/>
            </w:rPr>
            <w:t>11</w:t>
          </w:r>
          <w:bookmarkEnd w:id="25"/>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_Toc12508_WPSOffice_Level2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0e9bf80a-885a-4b2d-9610-a35a98a6a5da}"/>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6.1 危险源分级</w:t>
              </w:r>
            </w:sdtContent>
          </w:sdt>
          <w:r>
            <w:rPr>
              <w:rFonts w:hint="eastAsia" w:ascii="方正仿宋_GBK" w:hAnsi="方正仿宋_GBK" w:eastAsia="方正仿宋_GBK" w:cs="方正仿宋_GBK"/>
              <w:b/>
              <w:bCs/>
              <w:color w:val="auto"/>
              <w:sz w:val="28"/>
              <w:szCs w:val="28"/>
            </w:rPr>
            <w:tab/>
          </w:r>
          <w:bookmarkStart w:id="26" w:name="_Toc12508_WPSOffice_Level2Page"/>
          <w:r>
            <w:rPr>
              <w:rFonts w:hint="eastAsia" w:ascii="方正仿宋_GBK" w:hAnsi="方正仿宋_GBK" w:eastAsia="方正仿宋_GBK" w:cs="方正仿宋_GBK"/>
              <w:b/>
              <w:bCs/>
              <w:color w:val="auto"/>
              <w:sz w:val="28"/>
              <w:szCs w:val="28"/>
            </w:rPr>
            <w:t>11</w:t>
          </w:r>
          <w:bookmarkEnd w:id="26"/>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_Toc27657_WPSOffice_Level2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ff261ce4-14b9-49bb-9a91-4d9b5857c83d}"/>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6.2 危险源辨识</w:t>
              </w:r>
            </w:sdtContent>
          </w:sdt>
          <w:r>
            <w:rPr>
              <w:rFonts w:hint="eastAsia" w:ascii="方正仿宋_GBK" w:hAnsi="方正仿宋_GBK" w:eastAsia="方正仿宋_GBK" w:cs="方正仿宋_GBK"/>
              <w:b/>
              <w:bCs/>
              <w:color w:val="auto"/>
              <w:sz w:val="28"/>
              <w:szCs w:val="28"/>
            </w:rPr>
            <w:tab/>
          </w:r>
          <w:bookmarkStart w:id="27" w:name="_Toc27657_WPSOffice_Level2Page"/>
          <w:r>
            <w:rPr>
              <w:rFonts w:hint="eastAsia" w:ascii="方正仿宋_GBK" w:hAnsi="方正仿宋_GBK" w:eastAsia="方正仿宋_GBK" w:cs="方正仿宋_GBK"/>
              <w:b/>
              <w:bCs/>
              <w:color w:val="auto"/>
              <w:sz w:val="28"/>
              <w:szCs w:val="28"/>
            </w:rPr>
            <w:t>11</w:t>
          </w:r>
          <w:bookmarkEnd w:id="27"/>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_Toc12792_WPSOffice_Level2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7350b8f3-fe2f-40c8-9e74-4ea87bdec042}"/>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6.3 危险源管控</w:t>
              </w:r>
            </w:sdtContent>
          </w:sdt>
          <w:r>
            <w:rPr>
              <w:rFonts w:hint="eastAsia" w:ascii="方正仿宋_GBK" w:hAnsi="方正仿宋_GBK" w:eastAsia="方正仿宋_GBK" w:cs="方正仿宋_GBK"/>
              <w:b/>
              <w:bCs/>
              <w:color w:val="auto"/>
              <w:sz w:val="28"/>
              <w:szCs w:val="28"/>
            </w:rPr>
            <w:tab/>
          </w:r>
          <w:bookmarkStart w:id="28" w:name="_Toc12792_WPSOffice_Level2Page"/>
          <w:r>
            <w:rPr>
              <w:rFonts w:hint="eastAsia" w:ascii="方正仿宋_GBK" w:hAnsi="方正仿宋_GBK" w:eastAsia="方正仿宋_GBK" w:cs="方正仿宋_GBK"/>
              <w:b/>
              <w:bCs/>
              <w:color w:val="auto"/>
              <w:sz w:val="28"/>
              <w:szCs w:val="28"/>
            </w:rPr>
            <w:t>12</w:t>
          </w:r>
          <w:bookmarkEnd w:id="28"/>
          <w:r>
            <w:rPr>
              <w:rFonts w:hint="eastAsia" w:ascii="方正仿宋_GBK" w:hAnsi="方正仿宋_GBK" w:eastAsia="方正仿宋_GBK" w:cs="方正仿宋_GBK"/>
              <w:b/>
              <w:bCs/>
              <w:color w:val="auto"/>
              <w:sz w:val="28"/>
              <w:szCs w:val="28"/>
            </w:rPr>
            <w:fldChar w:fldCharType="end"/>
          </w:r>
        </w:p>
        <w:p>
          <w:pPr>
            <w:pStyle w:val="83"/>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_Toc24656_WPSOffice_Level1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d62afc88-af90-4e86-a760-6cb28a4f0f63}"/>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7 安全生产技术管理</w:t>
              </w:r>
            </w:sdtContent>
          </w:sdt>
          <w:r>
            <w:rPr>
              <w:rFonts w:hint="eastAsia" w:ascii="方正仿宋_GBK" w:hAnsi="方正仿宋_GBK" w:eastAsia="方正仿宋_GBK" w:cs="方正仿宋_GBK"/>
              <w:b/>
              <w:bCs/>
              <w:color w:val="auto"/>
              <w:sz w:val="28"/>
              <w:szCs w:val="28"/>
            </w:rPr>
            <w:tab/>
          </w:r>
          <w:bookmarkStart w:id="29" w:name="_Toc24656_WPSOffice_Level1Page"/>
          <w:r>
            <w:rPr>
              <w:rFonts w:hint="eastAsia" w:ascii="方正仿宋_GBK" w:hAnsi="方正仿宋_GBK" w:eastAsia="方正仿宋_GBK" w:cs="方正仿宋_GBK"/>
              <w:b/>
              <w:bCs/>
              <w:color w:val="auto"/>
              <w:sz w:val="28"/>
              <w:szCs w:val="28"/>
            </w:rPr>
            <w:t>13</w:t>
          </w:r>
          <w:bookmarkEnd w:id="29"/>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_Toc6260_WPSOffice_Level2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f7b43cad-9285-4d66-ac28-353b1027d91b}"/>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7.1 制度与体系</w:t>
              </w:r>
            </w:sdtContent>
          </w:sdt>
          <w:r>
            <w:rPr>
              <w:rFonts w:hint="eastAsia" w:ascii="方正仿宋_GBK" w:hAnsi="方正仿宋_GBK" w:eastAsia="方正仿宋_GBK" w:cs="方正仿宋_GBK"/>
              <w:b/>
              <w:bCs/>
              <w:color w:val="auto"/>
              <w:sz w:val="28"/>
              <w:szCs w:val="28"/>
            </w:rPr>
            <w:tab/>
          </w:r>
          <w:bookmarkStart w:id="30" w:name="_Toc6260_WPSOffice_Level2Page"/>
          <w:r>
            <w:rPr>
              <w:rFonts w:hint="eastAsia" w:ascii="方正仿宋_GBK" w:hAnsi="方正仿宋_GBK" w:eastAsia="方正仿宋_GBK" w:cs="方正仿宋_GBK"/>
              <w:b/>
              <w:bCs/>
              <w:color w:val="auto"/>
              <w:sz w:val="28"/>
              <w:szCs w:val="28"/>
            </w:rPr>
            <w:t>13</w:t>
          </w:r>
          <w:bookmarkEnd w:id="30"/>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_Toc8214_WPSOffice_Level2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3b129efe-4088-4769-a4c3-afcd8ff576c6}"/>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7.2 施工方案</w:t>
              </w:r>
            </w:sdtContent>
          </w:sdt>
          <w:r>
            <w:rPr>
              <w:rFonts w:hint="eastAsia" w:ascii="方正仿宋_GBK" w:hAnsi="方正仿宋_GBK" w:eastAsia="方正仿宋_GBK" w:cs="方正仿宋_GBK"/>
              <w:b/>
              <w:bCs/>
              <w:color w:val="auto"/>
              <w:sz w:val="28"/>
              <w:szCs w:val="28"/>
            </w:rPr>
            <w:tab/>
          </w:r>
          <w:bookmarkStart w:id="31" w:name="_Toc8214_WPSOffice_Level2Page"/>
          <w:r>
            <w:rPr>
              <w:rFonts w:hint="eastAsia" w:ascii="方正仿宋_GBK" w:hAnsi="方正仿宋_GBK" w:eastAsia="方正仿宋_GBK" w:cs="方正仿宋_GBK"/>
              <w:b/>
              <w:bCs/>
              <w:color w:val="auto"/>
              <w:sz w:val="28"/>
              <w:szCs w:val="28"/>
            </w:rPr>
            <w:t>14</w:t>
          </w:r>
          <w:bookmarkEnd w:id="31"/>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_Toc27674_WPSOffice_Level2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d4f27f11-0238-4ddc-9e79-2420400d66dc}"/>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7.3 安全技术交底</w:t>
              </w:r>
            </w:sdtContent>
          </w:sdt>
          <w:r>
            <w:rPr>
              <w:rFonts w:hint="eastAsia" w:ascii="方正仿宋_GBK" w:hAnsi="方正仿宋_GBK" w:eastAsia="方正仿宋_GBK" w:cs="方正仿宋_GBK"/>
              <w:b/>
              <w:bCs/>
              <w:color w:val="auto"/>
              <w:sz w:val="28"/>
              <w:szCs w:val="28"/>
            </w:rPr>
            <w:tab/>
          </w:r>
          <w:bookmarkStart w:id="32" w:name="_Toc27674_WPSOffice_Level2Page"/>
          <w:r>
            <w:rPr>
              <w:rFonts w:hint="eastAsia" w:ascii="方正仿宋_GBK" w:hAnsi="方正仿宋_GBK" w:eastAsia="方正仿宋_GBK" w:cs="方正仿宋_GBK"/>
              <w:b/>
              <w:bCs/>
              <w:color w:val="auto"/>
              <w:sz w:val="28"/>
              <w:szCs w:val="28"/>
            </w:rPr>
            <w:t>14</w:t>
          </w:r>
          <w:bookmarkEnd w:id="32"/>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_Toc25281_WPSOffice_Level2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e6b5061f-50d6-45f6-adf5-b535f5e48dc7}"/>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7.4 安全验收</w:t>
              </w:r>
            </w:sdtContent>
          </w:sdt>
          <w:r>
            <w:rPr>
              <w:rFonts w:hint="eastAsia" w:ascii="方正仿宋_GBK" w:hAnsi="方正仿宋_GBK" w:eastAsia="方正仿宋_GBK" w:cs="方正仿宋_GBK"/>
              <w:b/>
              <w:bCs/>
              <w:color w:val="auto"/>
              <w:sz w:val="28"/>
              <w:szCs w:val="28"/>
            </w:rPr>
            <w:tab/>
          </w:r>
          <w:bookmarkStart w:id="33" w:name="_Toc25281_WPSOffice_Level2Page"/>
          <w:r>
            <w:rPr>
              <w:rFonts w:hint="eastAsia" w:ascii="方正仿宋_GBK" w:hAnsi="方正仿宋_GBK" w:eastAsia="方正仿宋_GBK" w:cs="方正仿宋_GBK"/>
              <w:b/>
              <w:bCs/>
              <w:color w:val="auto"/>
              <w:sz w:val="28"/>
              <w:szCs w:val="28"/>
            </w:rPr>
            <w:t>15</w:t>
          </w:r>
          <w:bookmarkEnd w:id="33"/>
          <w:r>
            <w:rPr>
              <w:rFonts w:hint="eastAsia" w:ascii="方正仿宋_GBK" w:hAnsi="方正仿宋_GBK" w:eastAsia="方正仿宋_GBK" w:cs="方正仿宋_GBK"/>
              <w:b/>
              <w:bCs/>
              <w:color w:val="auto"/>
              <w:sz w:val="28"/>
              <w:szCs w:val="28"/>
            </w:rPr>
            <w:fldChar w:fldCharType="end"/>
          </w:r>
        </w:p>
        <w:p>
          <w:pPr>
            <w:pStyle w:val="83"/>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_Toc31254_WPSOffice_Level1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d9907ab2-77c8-45c5-9456-c0c9b159663c}"/>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8 安全教育与培训</w:t>
              </w:r>
            </w:sdtContent>
          </w:sdt>
          <w:r>
            <w:rPr>
              <w:rFonts w:hint="eastAsia" w:ascii="方正仿宋_GBK" w:hAnsi="方正仿宋_GBK" w:eastAsia="方正仿宋_GBK" w:cs="方正仿宋_GBK"/>
              <w:b/>
              <w:bCs/>
              <w:color w:val="auto"/>
              <w:sz w:val="28"/>
              <w:szCs w:val="28"/>
            </w:rPr>
            <w:tab/>
          </w:r>
          <w:bookmarkStart w:id="34" w:name="_Toc31254_WPSOffice_Level1Page"/>
          <w:r>
            <w:rPr>
              <w:rFonts w:hint="eastAsia" w:ascii="方正仿宋_GBK" w:hAnsi="方正仿宋_GBK" w:eastAsia="方正仿宋_GBK" w:cs="方正仿宋_GBK"/>
              <w:b/>
              <w:bCs/>
              <w:color w:val="auto"/>
              <w:sz w:val="28"/>
              <w:szCs w:val="28"/>
            </w:rPr>
            <w:t>16</w:t>
          </w:r>
          <w:bookmarkEnd w:id="34"/>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_Toc9321_WPSOffice_Level2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2894c1f3-3ac8-4820-995b-09071691b0c3}"/>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8.1 管理人员取证培训</w:t>
              </w:r>
            </w:sdtContent>
          </w:sdt>
          <w:r>
            <w:rPr>
              <w:rFonts w:hint="eastAsia" w:ascii="方正仿宋_GBK" w:hAnsi="方正仿宋_GBK" w:eastAsia="方正仿宋_GBK" w:cs="方正仿宋_GBK"/>
              <w:b/>
              <w:bCs/>
              <w:color w:val="auto"/>
              <w:sz w:val="28"/>
              <w:szCs w:val="28"/>
            </w:rPr>
            <w:tab/>
          </w:r>
          <w:bookmarkStart w:id="35" w:name="_Toc9321_WPSOffice_Level2Page"/>
          <w:r>
            <w:rPr>
              <w:rFonts w:hint="eastAsia" w:ascii="方正仿宋_GBK" w:hAnsi="方正仿宋_GBK" w:eastAsia="方正仿宋_GBK" w:cs="方正仿宋_GBK"/>
              <w:b/>
              <w:bCs/>
              <w:color w:val="auto"/>
              <w:sz w:val="28"/>
              <w:szCs w:val="28"/>
            </w:rPr>
            <w:t>16</w:t>
          </w:r>
          <w:bookmarkEnd w:id="35"/>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_Toc3472_WPSOffice_Level2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c2ac8874-df3f-44c6-b60e-fc4e6e893d5f}"/>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8.2 管理人员日常培训</w:t>
              </w:r>
            </w:sdtContent>
          </w:sdt>
          <w:r>
            <w:rPr>
              <w:rFonts w:hint="eastAsia" w:ascii="方正仿宋_GBK" w:hAnsi="方正仿宋_GBK" w:eastAsia="方正仿宋_GBK" w:cs="方正仿宋_GBK"/>
              <w:b/>
              <w:bCs/>
              <w:color w:val="auto"/>
              <w:sz w:val="28"/>
              <w:szCs w:val="28"/>
            </w:rPr>
            <w:tab/>
          </w:r>
          <w:bookmarkStart w:id="36" w:name="_Toc3472_WPSOffice_Level2Page"/>
          <w:r>
            <w:rPr>
              <w:rFonts w:hint="eastAsia" w:ascii="方正仿宋_GBK" w:hAnsi="方正仿宋_GBK" w:eastAsia="方正仿宋_GBK" w:cs="方正仿宋_GBK"/>
              <w:b/>
              <w:bCs/>
              <w:color w:val="auto"/>
              <w:sz w:val="28"/>
              <w:szCs w:val="28"/>
            </w:rPr>
            <w:t>16</w:t>
          </w:r>
          <w:bookmarkEnd w:id="36"/>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_Toc10989_WPSOffice_Level2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a525744b-26fd-404f-876d-3e29bacc2126}"/>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8.3 工人培训</w:t>
              </w:r>
            </w:sdtContent>
          </w:sdt>
          <w:r>
            <w:rPr>
              <w:rFonts w:hint="eastAsia" w:ascii="方正仿宋_GBK" w:hAnsi="方正仿宋_GBK" w:eastAsia="方正仿宋_GBK" w:cs="方正仿宋_GBK"/>
              <w:b/>
              <w:bCs/>
              <w:color w:val="auto"/>
              <w:sz w:val="28"/>
              <w:szCs w:val="28"/>
            </w:rPr>
            <w:tab/>
          </w:r>
          <w:bookmarkStart w:id="37" w:name="_Toc10989_WPSOffice_Level2Page"/>
          <w:r>
            <w:rPr>
              <w:rFonts w:hint="eastAsia" w:ascii="方正仿宋_GBK" w:hAnsi="方正仿宋_GBK" w:eastAsia="方正仿宋_GBK" w:cs="方正仿宋_GBK"/>
              <w:b/>
              <w:bCs/>
              <w:color w:val="auto"/>
              <w:sz w:val="28"/>
              <w:szCs w:val="28"/>
            </w:rPr>
            <w:t>18</w:t>
          </w:r>
          <w:bookmarkEnd w:id="37"/>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_Toc24267_WPSOffice_Level2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1cd92069-481a-42e4-989e-8a62bb053a06}"/>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8.4 培训要求</w:t>
              </w:r>
            </w:sdtContent>
          </w:sdt>
          <w:r>
            <w:rPr>
              <w:rFonts w:hint="eastAsia" w:ascii="方正仿宋_GBK" w:hAnsi="方正仿宋_GBK" w:eastAsia="方正仿宋_GBK" w:cs="方正仿宋_GBK"/>
              <w:b/>
              <w:bCs/>
              <w:color w:val="auto"/>
              <w:sz w:val="28"/>
              <w:szCs w:val="28"/>
            </w:rPr>
            <w:tab/>
          </w:r>
          <w:bookmarkStart w:id="38" w:name="_Toc24267_WPSOffice_Level2Page"/>
          <w:r>
            <w:rPr>
              <w:rFonts w:hint="eastAsia" w:ascii="方正仿宋_GBK" w:hAnsi="方正仿宋_GBK" w:eastAsia="方正仿宋_GBK" w:cs="方正仿宋_GBK"/>
              <w:b/>
              <w:bCs/>
              <w:color w:val="auto"/>
              <w:sz w:val="28"/>
              <w:szCs w:val="28"/>
            </w:rPr>
            <w:t>19</w:t>
          </w:r>
          <w:bookmarkEnd w:id="38"/>
          <w:r>
            <w:rPr>
              <w:rFonts w:hint="eastAsia" w:ascii="方正仿宋_GBK" w:hAnsi="方正仿宋_GBK" w:eastAsia="方正仿宋_GBK" w:cs="方正仿宋_GBK"/>
              <w:b/>
              <w:bCs/>
              <w:color w:val="auto"/>
              <w:sz w:val="28"/>
              <w:szCs w:val="28"/>
            </w:rPr>
            <w:fldChar w:fldCharType="end"/>
          </w:r>
        </w:p>
        <w:p>
          <w:pPr>
            <w:pStyle w:val="83"/>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_Toc1124_WPSOffice_Level1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3c39d063-d8fa-4428-8d92-d6e9586906c4}"/>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9 安全生产监督检查</w:t>
              </w:r>
            </w:sdtContent>
          </w:sdt>
          <w:r>
            <w:rPr>
              <w:rFonts w:hint="eastAsia" w:ascii="方正仿宋_GBK" w:hAnsi="方正仿宋_GBK" w:eastAsia="方正仿宋_GBK" w:cs="方正仿宋_GBK"/>
              <w:b/>
              <w:bCs/>
              <w:color w:val="auto"/>
              <w:sz w:val="28"/>
              <w:szCs w:val="28"/>
            </w:rPr>
            <w:tab/>
          </w:r>
          <w:bookmarkStart w:id="39" w:name="_Toc1124_WPSOffice_Level1Page"/>
          <w:r>
            <w:rPr>
              <w:rFonts w:hint="eastAsia" w:ascii="方正仿宋_GBK" w:hAnsi="方正仿宋_GBK" w:eastAsia="方正仿宋_GBK" w:cs="方正仿宋_GBK"/>
              <w:b/>
              <w:bCs/>
              <w:color w:val="auto"/>
              <w:sz w:val="28"/>
              <w:szCs w:val="28"/>
            </w:rPr>
            <w:t>20</w:t>
          </w:r>
          <w:bookmarkEnd w:id="39"/>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_Toc7164_WPSOffice_Level2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5b31b3a3-33b7-4fe4-99f6-10012118eefa}"/>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9.1 例行检查</w:t>
              </w:r>
            </w:sdtContent>
          </w:sdt>
          <w:r>
            <w:rPr>
              <w:rFonts w:hint="eastAsia" w:ascii="方正仿宋_GBK" w:hAnsi="方正仿宋_GBK" w:eastAsia="方正仿宋_GBK" w:cs="方正仿宋_GBK"/>
              <w:b/>
              <w:bCs/>
              <w:color w:val="auto"/>
              <w:sz w:val="28"/>
              <w:szCs w:val="28"/>
            </w:rPr>
            <w:tab/>
          </w:r>
          <w:bookmarkStart w:id="40" w:name="_Toc7164_WPSOffice_Level2Page"/>
          <w:r>
            <w:rPr>
              <w:rFonts w:hint="eastAsia" w:ascii="方正仿宋_GBK" w:hAnsi="方正仿宋_GBK" w:eastAsia="方正仿宋_GBK" w:cs="方正仿宋_GBK"/>
              <w:b/>
              <w:bCs/>
              <w:color w:val="auto"/>
              <w:sz w:val="28"/>
              <w:szCs w:val="28"/>
            </w:rPr>
            <w:t>20</w:t>
          </w:r>
          <w:bookmarkEnd w:id="40"/>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_Toc9213_WPSOffice_Level2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c1637666-6f32-4f43-8958-563db167090e}"/>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9.2 专项检查</w:t>
              </w:r>
            </w:sdtContent>
          </w:sdt>
          <w:r>
            <w:rPr>
              <w:rFonts w:hint="eastAsia" w:ascii="方正仿宋_GBK" w:hAnsi="方正仿宋_GBK" w:eastAsia="方正仿宋_GBK" w:cs="方正仿宋_GBK"/>
              <w:b/>
              <w:bCs/>
              <w:color w:val="auto"/>
              <w:sz w:val="28"/>
              <w:szCs w:val="28"/>
            </w:rPr>
            <w:tab/>
          </w:r>
          <w:bookmarkStart w:id="41" w:name="_Toc9213_WPSOffice_Level2Page"/>
          <w:r>
            <w:rPr>
              <w:rFonts w:hint="eastAsia" w:ascii="方正仿宋_GBK" w:hAnsi="方正仿宋_GBK" w:eastAsia="方正仿宋_GBK" w:cs="方正仿宋_GBK"/>
              <w:b/>
              <w:bCs/>
              <w:color w:val="auto"/>
              <w:sz w:val="28"/>
              <w:szCs w:val="28"/>
            </w:rPr>
            <w:t>20</w:t>
          </w:r>
          <w:bookmarkEnd w:id="41"/>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_Toc12143_WPSOffice_Level2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5459a8d7-5fa1-4545-b1c7-802de4b91ed4}"/>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9.3 领导带班检查</w:t>
              </w:r>
            </w:sdtContent>
          </w:sdt>
          <w:r>
            <w:rPr>
              <w:rFonts w:hint="eastAsia" w:ascii="方正仿宋_GBK" w:hAnsi="方正仿宋_GBK" w:eastAsia="方正仿宋_GBK" w:cs="方正仿宋_GBK"/>
              <w:b/>
              <w:bCs/>
              <w:color w:val="auto"/>
              <w:sz w:val="28"/>
              <w:szCs w:val="28"/>
            </w:rPr>
            <w:tab/>
          </w:r>
          <w:bookmarkStart w:id="42" w:name="_Toc12143_WPSOffice_Level2Page"/>
          <w:r>
            <w:rPr>
              <w:rFonts w:hint="eastAsia" w:ascii="方正仿宋_GBK" w:hAnsi="方正仿宋_GBK" w:eastAsia="方正仿宋_GBK" w:cs="方正仿宋_GBK"/>
              <w:b/>
              <w:bCs/>
              <w:color w:val="auto"/>
              <w:sz w:val="28"/>
              <w:szCs w:val="28"/>
            </w:rPr>
            <w:t>21</w:t>
          </w:r>
          <w:bookmarkEnd w:id="42"/>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_Toc15395_WPSOffice_Level2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6c55387b-bd0c-4712-8649-999f28534318}"/>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9.4 隐患处理</w:t>
              </w:r>
            </w:sdtContent>
          </w:sdt>
          <w:r>
            <w:rPr>
              <w:rFonts w:hint="eastAsia" w:ascii="方正仿宋_GBK" w:hAnsi="方正仿宋_GBK" w:eastAsia="方正仿宋_GBK" w:cs="方正仿宋_GBK"/>
              <w:b/>
              <w:bCs/>
              <w:color w:val="auto"/>
              <w:sz w:val="28"/>
              <w:szCs w:val="28"/>
            </w:rPr>
            <w:tab/>
          </w:r>
          <w:bookmarkStart w:id="43" w:name="_Toc15395_WPSOffice_Level2Page"/>
          <w:r>
            <w:rPr>
              <w:rFonts w:hint="eastAsia" w:ascii="方正仿宋_GBK" w:hAnsi="方正仿宋_GBK" w:eastAsia="方正仿宋_GBK" w:cs="方正仿宋_GBK"/>
              <w:b/>
              <w:bCs/>
              <w:color w:val="auto"/>
              <w:sz w:val="28"/>
              <w:szCs w:val="28"/>
            </w:rPr>
            <w:t>21</w:t>
          </w:r>
          <w:bookmarkEnd w:id="43"/>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_Toc31901_WPSOffice_Level2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ba9ebf9d-30b3-43e5-a0ce-2f713414ba2d}"/>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9.5 检查记录</w:t>
              </w:r>
            </w:sdtContent>
          </w:sdt>
          <w:r>
            <w:rPr>
              <w:rFonts w:hint="eastAsia" w:ascii="方正仿宋_GBK" w:hAnsi="方正仿宋_GBK" w:eastAsia="方正仿宋_GBK" w:cs="方正仿宋_GBK"/>
              <w:b/>
              <w:bCs/>
              <w:color w:val="auto"/>
              <w:sz w:val="28"/>
              <w:szCs w:val="28"/>
            </w:rPr>
            <w:tab/>
          </w:r>
          <w:bookmarkStart w:id="44" w:name="_Toc31901_WPSOffice_Level2Page"/>
          <w:r>
            <w:rPr>
              <w:rFonts w:hint="eastAsia" w:ascii="方正仿宋_GBK" w:hAnsi="方正仿宋_GBK" w:eastAsia="方正仿宋_GBK" w:cs="方正仿宋_GBK"/>
              <w:b/>
              <w:bCs/>
              <w:color w:val="auto"/>
              <w:sz w:val="28"/>
              <w:szCs w:val="28"/>
            </w:rPr>
            <w:t>22</w:t>
          </w:r>
          <w:bookmarkEnd w:id="44"/>
          <w:r>
            <w:rPr>
              <w:rFonts w:hint="eastAsia" w:ascii="方正仿宋_GBK" w:hAnsi="方正仿宋_GBK" w:eastAsia="方正仿宋_GBK" w:cs="方正仿宋_GBK"/>
              <w:b/>
              <w:bCs/>
              <w:color w:val="auto"/>
              <w:sz w:val="28"/>
              <w:szCs w:val="28"/>
            </w:rPr>
            <w:fldChar w:fldCharType="end"/>
          </w:r>
        </w:p>
        <w:p>
          <w:pPr>
            <w:pStyle w:val="83"/>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_Toc30221_WPSOffice_Level1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05cfe8b5-c302-4f58-94c4-504c90535a69}"/>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10 分包安全管理</w:t>
              </w:r>
            </w:sdtContent>
          </w:sdt>
          <w:r>
            <w:rPr>
              <w:rFonts w:hint="eastAsia" w:ascii="方正仿宋_GBK" w:hAnsi="方正仿宋_GBK" w:eastAsia="方正仿宋_GBK" w:cs="方正仿宋_GBK"/>
              <w:b/>
              <w:bCs/>
              <w:color w:val="auto"/>
              <w:sz w:val="28"/>
              <w:szCs w:val="28"/>
            </w:rPr>
            <w:tab/>
          </w:r>
          <w:bookmarkStart w:id="45" w:name="_Toc30221_WPSOffice_Level1Page"/>
          <w:r>
            <w:rPr>
              <w:rFonts w:hint="eastAsia" w:ascii="方正仿宋_GBK" w:hAnsi="方正仿宋_GBK" w:eastAsia="方正仿宋_GBK" w:cs="方正仿宋_GBK"/>
              <w:b/>
              <w:bCs/>
              <w:color w:val="auto"/>
              <w:sz w:val="28"/>
              <w:szCs w:val="28"/>
            </w:rPr>
            <w:t>22</w:t>
          </w:r>
          <w:bookmarkEnd w:id="45"/>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_Toc27744_WPSOffice_Level2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cdaba0f2-e34c-4c29-8f42-0b1e2883c9f3}"/>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10.1 分包资质</w:t>
              </w:r>
            </w:sdtContent>
          </w:sdt>
          <w:r>
            <w:rPr>
              <w:rFonts w:hint="eastAsia" w:ascii="方正仿宋_GBK" w:hAnsi="方正仿宋_GBK" w:eastAsia="方正仿宋_GBK" w:cs="方正仿宋_GBK"/>
              <w:b/>
              <w:bCs/>
              <w:color w:val="auto"/>
              <w:sz w:val="28"/>
              <w:szCs w:val="28"/>
            </w:rPr>
            <w:tab/>
          </w:r>
          <w:bookmarkStart w:id="46" w:name="_Toc27744_WPSOffice_Level2Page"/>
          <w:r>
            <w:rPr>
              <w:rFonts w:hint="eastAsia" w:ascii="方正仿宋_GBK" w:hAnsi="方正仿宋_GBK" w:eastAsia="方正仿宋_GBK" w:cs="方正仿宋_GBK"/>
              <w:b/>
              <w:bCs/>
              <w:color w:val="auto"/>
              <w:sz w:val="28"/>
              <w:szCs w:val="28"/>
            </w:rPr>
            <w:t>22</w:t>
          </w:r>
          <w:bookmarkEnd w:id="46"/>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_Toc6833_WPSOffice_Level2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b689fec5-44d6-47bd-9275-a289c862cfdd}"/>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10.2 安全协议</w:t>
              </w:r>
            </w:sdtContent>
          </w:sdt>
          <w:r>
            <w:rPr>
              <w:rFonts w:hint="eastAsia" w:ascii="方正仿宋_GBK" w:hAnsi="方正仿宋_GBK" w:eastAsia="方正仿宋_GBK" w:cs="方正仿宋_GBK"/>
              <w:b/>
              <w:bCs/>
              <w:color w:val="auto"/>
              <w:sz w:val="28"/>
              <w:szCs w:val="28"/>
            </w:rPr>
            <w:tab/>
          </w:r>
          <w:bookmarkStart w:id="47" w:name="_Toc6833_WPSOffice_Level2Page"/>
          <w:r>
            <w:rPr>
              <w:rFonts w:hint="eastAsia" w:ascii="方正仿宋_GBK" w:hAnsi="方正仿宋_GBK" w:eastAsia="方正仿宋_GBK" w:cs="方正仿宋_GBK"/>
              <w:b/>
              <w:bCs/>
              <w:color w:val="auto"/>
              <w:sz w:val="28"/>
              <w:szCs w:val="28"/>
            </w:rPr>
            <w:t>22</w:t>
          </w:r>
          <w:bookmarkEnd w:id="47"/>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_Toc9061_WPSOffice_Level2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9d085a43-5da8-47ba-81d7-0f734e24ec89}"/>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10.3 过程管理</w:t>
              </w:r>
            </w:sdtContent>
          </w:sdt>
          <w:r>
            <w:rPr>
              <w:rFonts w:hint="eastAsia" w:ascii="方正仿宋_GBK" w:hAnsi="方正仿宋_GBK" w:eastAsia="方正仿宋_GBK" w:cs="方正仿宋_GBK"/>
              <w:b/>
              <w:bCs/>
              <w:color w:val="auto"/>
              <w:sz w:val="28"/>
              <w:szCs w:val="28"/>
            </w:rPr>
            <w:tab/>
          </w:r>
          <w:bookmarkStart w:id="48" w:name="_Toc9061_WPSOffice_Level2Page"/>
          <w:r>
            <w:rPr>
              <w:rFonts w:hint="eastAsia" w:ascii="方正仿宋_GBK" w:hAnsi="方正仿宋_GBK" w:eastAsia="方正仿宋_GBK" w:cs="方正仿宋_GBK"/>
              <w:b/>
              <w:bCs/>
              <w:color w:val="auto"/>
              <w:sz w:val="28"/>
              <w:szCs w:val="28"/>
            </w:rPr>
            <w:t>22</w:t>
          </w:r>
          <w:bookmarkEnd w:id="48"/>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_Toc26884_WPSOffice_Level2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64fc2747-a592-450d-993d-782489162ae0}"/>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10.4 分包安全业绩考核</w:t>
              </w:r>
            </w:sdtContent>
          </w:sdt>
          <w:r>
            <w:rPr>
              <w:rFonts w:hint="eastAsia" w:ascii="方正仿宋_GBK" w:hAnsi="方正仿宋_GBK" w:eastAsia="方正仿宋_GBK" w:cs="方正仿宋_GBK"/>
              <w:b/>
              <w:bCs/>
              <w:color w:val="auto"/>
              <w:sz w:val="28"/>
              <w:szCs w:val="28"/>
            </w:rPr>
            <w:tab/>
          </w:r>
          <w:bookmarkStart w:id="49" w:name="_Toc26884_WPSOffice_Level2Page"/>
          <w:r>
            <w:rPr>
              <w:rFonts w:hint="eastAsia" w:ascii="方正仿宋_GBK" w:hAnsi="方正仿宋_GBK" w:eastAsia="方正仿宋_GBK" w:cs="方正仿宋_GBK"/>
              <w:b/>
              <w:bCs/>
              <w:color w:val="auto"/>
              <w:sz w:val="28"/>
              <w:szCs w:val="28"/>
            </w:rPr>
            <w:t>22</w:t>
          </w:r>
          <w:bookmarkEnd w:id="49"/>
          <w:r>
            <w:rPr>
              <w:rFonts w:hint="eastAsia" w:ascii="方正仿宋_GBK" w:hAnsi="方正仿宋_GBK" w:eastAsia="方正仿宋_GBK" w:cs="方正仿宋_GBK"/>
              <w:b/>
              <w:bCs/>
              <w:color w:val="auto"/>
              <w:sz w:val="28"/>
              <w:szCs w:val="28"/>
            </w:rPr>
            <w:fldChar w:fldCharType="end"/>
          </w:r>
        </w:p>
        <w:p>
          <w:pPr>
            <w:pStyle w:val="83"/>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_Toc26889_WPSOffice_Level1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1ee5a495-050d-4bb8-9760-73f56228a7d3}"/>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11 特种设备安全管理</w:t>
              </w:r>
            </w:sdtContent>
          </w:sdt>
          <w:r>
            <w:rPr>
              <w:rFonts w:hint="eastAsia" w:ascii="方正仿宋_GBK" w:hAnsi="方正仿宋_GBK" w:eastAsia="方正仿宋_GBK" w:cs="方正仿宋_GBK"/>
              <w:b/>
              <w:bCs/>
              <w:color w:val="auto"/>
              <w:sz w:val="28"/>
              <w:szCs w:val="28"/>
            </w:rPr>
            <w:tab/>
          </w:r>
          <w:bookmarkStart w:id="50" w:name="_Toc26889_WPSOffice_Level1Page"/>
          <w:r>
            <w:rPr>
              <w:rFonts w:hint="eastAsia" w:ascii="方正仿宋_GBK" w:hAnsi="方正仿宋_GBK" w:eastAsia="方正仿宋_GBK" w:cs="方正仿宋_GBK"/>
              <w:b/>
              <w:bCs/>
              <w:color w:val="auto"/>
              <w:sz w:val="28"/>
              <w:szCs w:val="28"/>
            </w:rPr>
            <w:t>23</w:t>
          </w:r>
          <w:bookmarkEnd w:id="50"/>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_Toc26852_WPSOffice_Level2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947e3090-4f83-4ad2-bbc3-cf5f488ca4e7}"/>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11.1 一般要求</w:t>
              </w:r>
            </w:sdtContent>
          </w:sdt>
          <w:r>
            <w:rPr>
              <w:rFonts w:hint="eastAsia" w:ascii="方正仿宋_GBK" w:hAnsi="方正仿宋_GBK" w:eastAsia="方正仿宋_GBK" w:cs="方正仿宋_GBK"/>
              <w:b/>
              <w:bCs/>
              <w:color w:val="auto"/>
              <w:sz w:val="28"/>
              <w:szCs w:val="28"/>
            </w:rPr>
            <w:tab/>
          </w:r>
          <w:bookmarkStart w:id="51" w:name="_Toc26852_WPSOffice_Level2Page"/>
          <w:r>
            <w:rPr>
              <w:rFonts w:hint="eastAsia" w:ascii="方正仿宋_GBK" w:hAnsi="方正仿宋_GBK" w:eastAsia="方正仿宋_GBK" w:cs="方正仿宋_GBK"/>
              <w:b/>
              <w:bCs/>
              <w:color w:val="auto"/>
              <w:sz w:val="28"/>
              <w:szCs w:val="28"/>
            </w:rPr>
            <w:t>23</w:t>
          </w:r>
          <w:bookmarkEnd w:id="51"/>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_Toc26427_WPSOffice_Level2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20ec4d5c-4a06-44b1-8240-5b87d49da71e}"/>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11.2 安装、拆除及使用安全管理</w:t>
              </w:r>
            </w:sdtContent>
          </w:sdt>
          <w:r>
            <w:rPr>
              <w:rFonts w:hint="eastAsia" w:ascii="方正仿宋_GBK" w:hAnsi="方正仿宋_GBK" w:eastAsia="方正仿宋_GBK" w:cs="方正仿宋_GBK"/>
              <w:b/>
              <w:bCs/>
              <w:color w:val="auto"/>
              <w:sz w:val="28"/>
              <w:szCs w:val="28"/>
            </w:rPr>
            <w:tab/>
          </w:r>
          <w:bookmarkStart w:id="52" w:name="_Toc26427_WPSOffice_Level2Page"/>
          <w:r>
            <w:rPr>
              <w:rFonts w:hint="eastAsia" w:ascii="方正仿宋_GBK" w:hAnsi="方正仿宋_GBK" w:eastAsia="方正仿宋_GBK" w:cs="方正仿宋_GBK"/>
              <w:b/>
              <w:bCs/>
              <w:color w:val="auto"/>
              <w:sz w:val="28"/>
              <w:szCs w:val="28"/>
            </w:rPr>
            <w:t>23</w:t>
          </w:r>
          <w:bookmarkEnd w:id="52"/>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_Toc25030_WPSOffice_Level2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8245aeae-cacc-4ca6-97a1-5542ed91aed4}"/>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11.3 特种设备档案</w:t>
              </w:r>
            </w:sdtContent>
          </w:sdt>
          <w:r>
            <w:rPr>
              <w:rFonts w:hint="eastAsia" w:ascii="方正仿宋_GBK" w:hAnsi="方正仿宋_GBK" w:eastAsia="方正仿宋_GBK" w:cs="方正仿宋_GBK"/>
              <w:b/>
              <w:bCs/>
              <w:color w:val="auto"/>
              <w:sz w:val="28"/>
              <w:szCs w:val="28"/>
            </w:rPr>
            <w:tab/>
          </w:r>
          <w:bookmarkStart w:id="53" w:name="_Toc25030_WPSOffice_Level2Page"/>
          <w:r>
            <w:rPr>
              <w:rFonts w:hint="eastAsia" w:ascii="方正仿宋_GBK" w:hAnsi="方正仿宋_GBK" w:eastAsia="方正仿宋_GBK" w:cs="方正仿宋_GBK"/>
              <w:b/>
              <w:bCs/>
              <w:color w:val="auto"/>
              <w:sz w:val="28"/>
              <w:szCs w:val="28"/>
            </w:rPr>
            <w:t>25</w:t>
          </w:r>
          <w:bookmarkEnd w:id="53"/>
          <w:r>
            <w:rPr>
              <w:rFonts w:hint="eastAsia" w:ascii="方正仿宋_GBK" w:hAnsi="方正仿宋_GBK" w:eastAsia="方正仿宋_GBK" w:cs="方正仿宋_GBK"/>
              <w:b/>
              <w:bCs/>
              <w:color w:val="auto"/>
              <w:sz w:val="28"/>
              <w:szCs w:val="28"/>
            </w:rPr>
            <w:fldChar w:fldCharType="end"/>
          </w:r>
        </w:p>
        <w:p>
          <w:pPr>
            <w:pStyle w:val="83"/>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_Toc2845_WPSOffice_Level1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8857159c-6a11-4d5e-b706-b95231c2394a}"/>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12 劳动防护用品管理</w:t>
              </w:r>
            </w:sdtContent>
          </w:sdt>
          <w:r>
            <w:rPr>
              <w:rFonts w:hint="eastAsia" w:ascii="方正仿宋_GBK" w:hAnsi="方正仿宋_GBK" w:eastAsia="方正仿宋_GBK" w:cs="方正仿宋_GBK"/>
              <w:b/>
              <w:bCs/>
              <w:color w:val="auto"/>
              <w:sz w:val="28"/>
              <w:szCs w:val="28"/>
            </w:rPr>
            <w:tab/>
          </w:r>
          <w:bookmarkStart w:id="54" w:name="_Toc2845_WPSOffice_Level1Page"/>
          <w:r>
            <w:rPr>
              <w:rFonts w:hint="eastAsia" w:ascii="方正仿宋_GBK" w:hAnsi="方正仿宋_GBK" w:eastAsia="方正仿宋_GBK" w:cs="方正仿宋_GBK"/>
              <w:b/>
              <w:bCs/>
              <w:color w:val="auto"/>
              <w:sz w:val="28"/>
              <w:szCs w:val="28"/>
            </w:rPr>
            <w:t>25</w:t>
          </w:r>
          <w:bookmarkEnd w:id="54"/>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_Toc801_WPSOffice_Level2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884a6189-69ea-4abb-9bd5-e250dda5fb54}"/>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12.1 定义与分类</w:t>
              </w:r>
            </w:sdtContent>
          </w:sdt>
          <w:r>
            <w:rPr>
              <w:rFonts w:hint="eastAsia" w:ascii="方正仿宋_GBK" w:hAnsi="方正仿宋_GBK" w:eastAsia="方正仿宋_GBK" w:cs="方正仿宋_GBK"/>
              <w:b/>
              <w:bCs/>
              <w:color w:val="auto"/>
              <w:sz w:val="28"/>
              <w:szCs w:val="28"/>
            </w:rPr>
            <w:tab/>
          </w:r>
          <w:bookmarkStart w:id="55" w:name="_Toc801_WPSOffice_Level2Page"/>
          <w:r>
            <w:rPr>
              <w:rFonts w:hint="eastAsia" w:ascii="方正仿宋_GBK" w:hAnsi="方正仿宋_GBK" w:eastAsia="方正仿宋_GBK" w:cs="方正仿宋_GBK"/>
              <w:b/>
              <w:bCs/>
              <w:color w:val="auto"/>
              <w:sz w:val="28"/>
              <w:szCs w:val="28"/>
            </w:rPr>
            <w:t>25</w:t>
          </w:r>
          <w:bookmarkEnd w:id="55"/>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_Toc22279_WPSOffice_Level2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8ea3298c-195a-4cbf-bb75-24ba3121dbc7}"/>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12.2 劳动防护用品的采购与验收</w:t>
              </w:r>
            </w:sdtContent>
          </w:sdt>
          <w:r>
            <w:rPr>
              <w:rFonts w:hint="eastAsia" w:ascii="方正仿宋_GBK" w:hAnsi="方正仿宋_GBK" w:eastAsia="方正仿宋_GBK" w:cs="方正仿宋_GBK"/>
              <w:b/>
              <w:bCs/>
              <w:color w:val="auto"/>
              <w:sz w:val="28"/>
              <w:szCs w:val="28"/>
            </w:rPr>
            <w:tab/>
          </w:r>
          <w:bookmarkStart w:id="56" w:name="_Toc22279_WPSOffice_Level2Page"/>
          <w:r>
            <w:rPr>
              <w:rFonts w:hint="eastAsia" w:ascii="方正仿宋_GBK" w:hAnsi="方正仿宋_GBK" w:eastAsia="方正仿宋_GBK" w:cs="方正仿宋_GBK"/>
              <w:b/>
              <w:bCs/>
              <w:color w:val="auto"/>
              <w:sz w:val="28"/>
              <w:szCs w:val="28"/>
            </w:rPr>
            <w:t>25</w:t>
          </w:r>
          <w:bookmarkEnd w:id="56"/>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_Toc12962_WPSOffice_Level2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18aa3373-f94b-4218-9554-075b6a26a76c}"/>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12.3 劳动防护用品的发放</w:t>
              </w:r>
            </w:sdtContent>
          </w:sdt>
          <w:r>
            <w:rPr>
              <w:rFonts w:hint="eastAsia" w:ascii="方正仿宋_GBK" w:hAnsi="方正仿宋_GBK" w:eastAsia="方正仿宋_GBK" w:cs="方正仿宋_GBK"/>
              <w:b/>
              <w:bCs/>
              <w:color w:val="auto"/>
              <w:sz w:val="28"/>
              <w:szCs w:val="28"/>
            </w:rPr>
            <w:tab/>
          </w:r>
          <w:bookmarkStart w:id="57" w:name="_Toc12962_WPSOffice_Level2Page"/>
          <w:r>
            <w:rPr>
              <w:rFonts w:hint="eastAsia" w:ascii="方正仿宋_GBK" w:hAnsi="方正仿宋_GBK" w:eastAsia="方正仿宋_GBK" w:cs="方正仿宋_GBK"/>
              <w:b/>
              <w:bCs/>
              <w:color w:val="auto"/>
              <w:sz w:val="28"/>
              <w:szCs w:val="28"/>
            </w:rPr>
            <w:t>26</w:t>
          </w:r>
          <w:bookmarkEnd w:id="57"/>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_Toc23640_WPSOffice_Level2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75aeec32-c8a9-42d2-b61d-2d664a7157f4}"/>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12.4 劳动防护用品的使用</w:t>
              </w:r>
            </w:sdtContent>
          </w:sdt>
          <w:r>
            <w:rPr>
              <w:rFonts w:hint="eastAsia" w:ascii="方正仿宋_GBK" w:hAnsi="方正仿宋_GBK" w:eastAsia="方正仿宋_GBK" w:cs="方正仿宋_GBK"/>
              <w:b/>
              <w:bCs/>
              <w:color w:val="auto"/>
              <w:sz w:val="28"/>
              <w:szCs w:val="28"/>
            </w:rPr>
            <w:tab/>
          </w:r>
          <w:bookmarkStart w:id="58" w:name="_Toc23640_WPSOffice_Level2Page"/>
          <w:r>
            <w:rPr>
              <w:rFonts w:hint="eastAsia" w:ascii="方正仿宋_GBK" w:hAnsi="方正仿宋_GBK" w:eastAsia="方正仿宋_GBK" w:cs="方正仿宋_GBK"/>
              <w:b/>
              <w:bCs/>
              <w:color w:val="auto"/>
              <w:sz w:val="28"/>
              <w:szCs w:val="28"/>
            </w:rPr>
            <w:t>26</w:t>
          </w:r>
          <w:bookmarkEnd w:id="58"/>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_Toc8786_WPSOffice_Level2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a8ff58da-42b6-4d05-be9f-117357be6e48}"/>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12.5 劳动防护用品的更换与报废</w:t>
              </w:r>
            </w:sdtContent>
          </w:sdt>
          <w:r>
            <w:rPr>
              <w:rFonts w:hint="eastAsia" w:ascii="方正仿宋_GBK" w:hAnsi="方正仿宋_GBK" w:eastAsia="方正仿宋_GBK" w:cs="方正仿宋_GBK"/>
              <w:b/>
              <w:bCs/>
              <w:color w:val="auto"/>
              <w:sz w:val="28"/>
              <w:szCs w:val="28"/>
            </w:rPr>
            <w:tab/>
          </w:r>
          <w:bookmarkStart w:id="59" w:name="_Toc8786_WPSOffice_Level2Page"/>
          <w:r>
            <w:rPr>
              <w:rFonts w:hint="eastAsia" w:ascii="方正仿宋_GBK" w:hAnsi="方正仿宋_GBK" w:eastAsia="方正仿宋_GBK" w:cs="方正仿宋_GBK"/>
              <w:b/>
              <w:bCs/>
              <w:color w:val="auto"/>
              <w:sz w:val="28"/>
              <w:szCs w:val="28"/>
            </w:rPr>
            <w:t>26</w:t>
          </w:r>
          <w:bookmarkEnd w:id="59"/>
          <w:r>
            <w:rPr>
              <w:rFonts w:hint="eastAsia" w:ascii="方正仿宋_GBK" w:hAnsi="方正仿宋_GBK" w:eastAsia="方正仿宋_GBK" w:cs="方正仿宋_GBK"/>
              <w:b/>
              <w:bCs/>
              <w:color w:val="auto"/>
              <w:sz w:val="28"/>
              <w:szCs w:val="28"/>
            </w:rPr>
            <w:fldChar w:fldCharType="end"/>
          </w:r>
        </w:p>
        <w:p>
          <w:pPr>
            <w:pStyle w:val="83"/>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_Toc31482_WPSOffice_Level1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ed90c150-abe9-4537-af0d-89944a033783}"/>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13 职业病防治</w:t>
              </w:r>
            </w:sdtContent>
          </w:sdt>
          <w:r>
            <w:rPr>
              <w:rFonts w:hint="eastAsia" w:ascii="方正仿宋_GBK" w:hAnsi="方正仿宋_GBK" w:eastAsia="方正仿宋_GBK" w:cs="方正仿宋_GBK"/>
              <w:b/>
              <w:bCs/>
              <w:color w:val="auto"/>
              <w:sz w:val="28"/>
              <w:szCs w:val="28"/>
            </w:rPr>
            <w:tab/>
          </w:r>
          <w:bookmarkStart w:id="60" w:name="_Toc31482_WPSOffice_Level1Page"/>
          <w:r>
            <w:rPr>
              <w:rFonts w:hint="eastAsia" w:ascii="方正仿宋_GBK" w:hAnsi="方正仿宋_GBK" w:eastAsia="方正仿宋_GBK" w:cs="方正仿宋_GBK"/>
              <w:b/>
              <w:bCs/>
              <w:color w:val="auto"/>
              <w:sz w:val="28"/>
              <w:szCs w:val="28"/>
            </w:rPr>
            <w:t>26</w:t>
          </w:r>
          <w:bookmarkEnd w:id="60"/>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_Toc23806_WPSOffice_Level2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21b4e0f3-ceac-4dc6-8133-51849536cf01}"/>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13.1 职业危害因素识别</w:t>
              </w:r>
            </w:sdtContent>
          </w:sdt>
          <w:r>
            <w:rPr>
              <w:rFonts w:hint="eastAsia" w:ascii="方正仿宋_GBK" w:hAnsi="方正仿宋_GBK" w:eastAsia="方正仿宋_GBK" w:cs="方正仿宋_GBK"/>
              <w:b/>
              <w:bCs/>
              <w:color w:val="auto"/>
              <w:sz w:val="28"/>
              <w:szCs w:val="28"/>
            </w:rPr>
            <w:tab/>
          </w:r>
          <w:bookmarkStart w:id="61" w:name="_Toc23806_WPSOffice_Level2Page"/>
          <w:r>
            <w:rPr>
              <w:rFonts w:hint="eastAsia" w:ascii="方正仿宋_GBK" w:hAnsi="方正仿宋_GBK" w:eastAsia="方正仿宋_GBK" w:cs="方正仿宋_GBK"/>
              <w:b/>
              <w:bCs/>
              <w:color w:val="auto"/>
              <w:sz w:val="28"/>
              <w:szCs w:val="28"/>
            </w:rPr>
            <w:t>26</w:t>
          </w:r>
          <w:bookmarkEnd w:id="61"/>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_Toc17757_WPSOffice_Level2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4638602c-7cda-46f9-9165-9668a7e241a5}"/>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13.2 职业病防治</w:t>
              </w:r>
            </w:sdtContent>
          </w:sdt>
          <w:r>
            <w:rPr>
              <w:rFonts w:hint="eastAsia" w:ascii="方正仿宋_GBK" w:hAnsi="方正仿宋_GBK" w:eastAsia="方正仿宋_GBK" w:cs="方正仿宋_GBK"/>
              <w:b/>
              <w:bCs/>
              <w:color w:val="auto"/>
              <w:sz w:val="28"/>
              <w:szCs w:val="28"/>
            </w:rPr>
            <w:tab/>
          </w:r>
          <w:bookmarkStart w:id="62" w:name="_Toc17757_WPSOffice_Level2Page"/>
          <w:r>
            <w:rPr>
              <w:rFonts w:hint="eastAsia" w:ascii="方正仿宋_GBK" w:hAnsi="方正仿宋_GBK" w:eastAsia="方正仿宋_GBK" w:cs="方正仿宋_GBK"/>
              <w:b/>
              <w:bCs/>
              <w:color w:val="auto"/>
              <w:sz w:val="28"/>
              <w:szCs w:val="28"/>
            </w:rPr>
            <w:t>27</w:t>
          </w:r>
          <w:bookmarkEnd w:id="62"/>
          <w:r>
            <w:rPr>
              <w:rFonts w:hint="eastAsia" w:ascii="方正仿宋_GBK" w:hAnsi="方正仿宋_GBK" w:eastAsia="方正仿宋_GBK" w:cs="方正仿宋_GBK"/>
              <w:b/>
              <w:bCs/>
              <w:color w:val="auto"/>
              <w:sz w:val="28"/>
              <w:szCs w:val="28"/>
            </w:rPr>
            <w:fldChar w:fldCharType="end"/>
          </w:r>
        </w:p>
        <w:p>
          <w:pPr>
            <w:pStyle w:val="83"/>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_Toc5003_WPSOffice_Level1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16c2da75-e1e2-4794-bb49-821f121cc4eb}"/>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14 生产安全事故与应急管理</w:t>
              </w:r>
            </w:sdtContent>
          </w:sdt>
          <w:r>
            <w:rPr>
              <w:rFonts w:hint="eastAsia" w:ascii="方正仿宋_GBK" w:hAnsi="方正仿宋_GBK" w:eastAsia="方正仿宋_GBK" w:cs="方正仿宋_GBK"/>
              <w:b/>
              <w:bCs/>
              <w:color w:val="auto"/>
              <w:sz w:val="28"/>
              <w:szCs w:val="28"/>
            </w:rPr>
            <w:tab/>
          </w:r>
          <w:bookmarkStart w:id="63" w:name="_Toc5003_WPSOffice_Level1Page"/>
          <w:r>
            <w:rPr>
              <w:rFonts w:hint="eastAsia" w:ascii="方正仿宋_GBK" w:hAnsi="方正仿宋_GBK" w:eastAsia="方正仿宋_GBK" w:cs="方正仿宋_GBK"/>
              <w:b/>
              <w:bCs/>
              <w:color w:val="auto"/>
              <w:sz w:val="28"/>
              <w:szCs w:val="28"/>
            </w:rPr>
            <w:t>27</w:t>
          </w:r>
          <w:bookmarkEnd w:id="63"/>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_Toc18570_WPSOffice_Level2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4d053c38-8641-498b-a654-2f17ae03b1cf}"/>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14.1 分级管控规定</w:t>
              </w:r>
            </w:sdtContent>
          </w:sdt>
          <w:r>
            <w:rPr>
              <w:rFonts w:hint="eastAsia" w:ascii="方正仿宋_GBK" w:hAnsi="方正仿宋_GBK" w:eastAsia="方正仿宋_GBK" w:cs="方正仿宋_GBK"/>
              <w:b/>
              <w:bCs/>
              <w:color w:val="auto"/>
              <w:sz w:val="28"/>
              <w:szCs w:val="28"/>
            </w:rPr>
            <w:tab/>
          </w:r>
          <w:bookmarkStart w:id="64" w:name="_Toc18570_WPSOffice_Level2Page"/>
          <w:r>
            <w:rPr>
              <w:rFonts w:hint="eastAsia" w:ascii="方正仿宋_GBK" w:hAnsi="方正仿宋_GBK" w:eastAsia="方正仿宋_GBK" w:cs="方正仿宋_GBK"/>
              <w:b/>
              <w:bCs/>
              <w:color w:val="auto"/>
              <w:sz w:val="28"/>
              <w:szCs w:val="28"/>
            </w:rPr>
            <w:t>27</w:t>
          </w:r>
          <w:bookmarkEnd w:id="64"/>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_Toc14809_WPSOffice_Level2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830a35e9-f418-48cb-8c3a-a63e19373621}"/>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14.2 应急准备</w:t>
              </w:r>
            </w:sdtContent>
          </w:sdt>
          <w:r>
            <w:rPr>
              <w:rFonts w:hint="eastAsia" w:ascii="方正仿宋_GBK" w:hAnsi="方正仿宋_GBK" w:eastAsia="方正仿宋_GBK" w:cs="方正仿宋_GBK"/>
              <w:b/>
              <w:bCs/>
              <w:color w:val="auto"/>
              <w:sz w:val="28"/>
              <w:szCs w:val="28"/>
            </w:rPr>
            <w:tab/>
          </w:r>
          <w:bookmarkStart w:id="65" w:name="_Toc14809_WPSOffice_Level2Page"/>
          <w:r>
            <w:rPr>
              <w:rFonts w:hint="eastAsia" w:ascii="方正仿宋_GBK" w:hAnsi="方正仿宋_GBK" w:eastAsia="方正仿宋_GBK" w:cs="方正仿宋_GBK"/>
              <w:b/>
              <w:bCs/>
              <w:color w:val="auto"/>
              <w:sz w:val="28"/>
              <w:szCs w:val="28"/>
            </w:rPr>
            <w:t>27</w:t>
          </w:r>
          <w:bookmarkEnd w:id="65"/>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_Toc9813_WPSOffice_Level2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9041b079-8e0c-4025-9a8d-941f6bb604d6}"/>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14.3 事故报告</w:t>
              </w:r>
            </w:sdtContent>
          </w:sdt>
          <w:r>
            <w:rPr>
              <w:rFonts w:hint="eastAsia" w:ascii="方正仿宋_GBK" w:hAnsi="方正仿宋_GBK" w:eastAsia="方正仿宋_GBK" w:cs="方正仿宋_GBK"/>
              <w:b/>
              <w:bCs/>
              <w:color w:val="auto"/>
              <w:sz w:val="28"/>
              <w:szCs w:val="28"/>
            </w:rPr>
            <w:tab/>
          </w:r>
          <w:bookmarkStart w:id="66" w:name="_Toc9813_WPSOffice_Level2Page"/>
          <w:r>
            <w:rPr>
              <w:rFonts w:hint="eastAsia" w:ascii="方正仿宋_GBK" w:hAnsi="方正仿宋_GBK" w:eastAsia="方正仿宋_GBK" w:cs="方正仿宋_GBK"/>
              <w:b/>
              <w:bCs/>
              <w:color w:val="auto"/>
              <w:sz w:val="28"/>
              <w:szCs w:val="28"/>
            </w:rPr>
            <w:t>29</w:t>
          </w:r>
          <w:bookmarkEnd w:id="66"/>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_Toc19668_WPSOffice_Level2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975095f4-2059-4fd3-b64b-cead7fb8d067}"/>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14.4 事故应急响应</w:t>
              </w:r>
            </w:sdtContent>
          </w:sdt>
          <w:r>
            <w:rPr>
              <w:rFonts w:hint="eastAsia" w:ascii="方正仿宋_GBK" w:hAnsi="方正仿宋_GBK" w:eastAsia="方正仿宋_GBK" w:cs="方正仿宋_GBK"/>
              <w:b/>
              <w:bCs/>
              <w:color w:val="auto"/>
              <w:sz w:val="28"/>
              <w:szCs w:val="28"/>
            </w:rPr>
            <w:tab/>
          </w:r>
          <w:bookmarkStart w:id="67" w:name="_Toc19668_WPSOffice_Level2Page"/>
          <w:r>
            <w:rPr>
              <w:rFonts w:hint="eastAsia" w:ascii="方正仿宋_GBK" w:hAnsi="方正仿宋_GBK" w:eastAsia="方正仿宋_GBK" w:cs="方正仿宋_GBK"/>
              <w:b/>
              <w:bCs/>
              <w:color w:val="auto"/>
              <w:sz w:val="28"/>
              <w:szCs w:val="28"/>
            </w:rPr>
            <w:t>30</w:t>
          </w:r>
          <w:bookmarkEnd w:id="67"/>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_Toc19950_WPSOffice_Level2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8d45492b-ff07-4b13-a904-04bd3d0b873a}"/>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14.5 事故调查和处理</w:t>
              </w:r>
            </w:sdtContent>
          </w:sdt>
          <w:r>
            <w:rPr>
              <w:rFonts w:hint="eastAsia" w:ascii="方正仿宋_GBK" w:hAnsi="方正仿宋_GBK" w:eastAsia="方正仿宋_GBK" w:cs="方正仿宋_GBK"/>
              <w:b/>
              <w:bCs/>
              <w:color w:val="auto"/>
              <w:sz w:val="28"/>
              <w:szCs w:val="28"/>
            </w:rPr>
            <w:tab/>
          </w:r>
          <w:bookmarkStart w:id="68" w:name="_Toc19950_WPSOffice_Level2Page"/>
          <w:r>
            <w:rPr>
              <w:rFonts w:hint="eastAsia" w:ascii="方正仿宋_GBK" w:hAnsi="方正仿宋_GBK" w:eastAsia="方正仿宋_GBK" w:cs="方正仿宋_GBK"/>
              <w:b/>
              <w:bCs/>
              <w:color w:val="auto"/>
              <w:sz w:val="28"/>
              <w:szCs w:val="28"/>
            </w:rPr>
            <w:t>31</w:t>
          </w:r>
          <w:bookmarkEnd w:id="68"/>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_Toc909_WPSOffice_Level2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c933f780-699a-4987-a0a2-0344d1b52fbd}"/>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14.6 事故经验反馈</w:t>
              </w:r>
            </w:sdtContent>
          </w:sdt>
          <w:r>
            <w:rPr>
              <w:rFonts w:hint="eastAsia" w:ascii="方正仿宋_GBK" w:hAnsi="方正仿宋_GBK" w:eastAsia="方正仿宋_GBK" w:cs="方正仿宋_GBK"/>
              <w:b/>
              <w:bCs/>
              <w:color w:val="auto"/>
              <w:sz w:val="28"/>
              <w:szCs w:val="28"/>
            </w:rPr>
            <w:tab/>
          </w:r>
          <w:bookmarkStart w:id="69" w:name="_Toc909_WPSOffice_Level2Page"/>
          <w:r>
            <w:rPr>
              <w:rFonts w:hint="eastAsia" w:ascii="方正仿宋_GBK" w:hAnsi="方正仿宋_GBK" w:eastAsia="方正仿宋_GBK" w:cs="方正仿宋_GBK"/>
              <w:b/>
              <w:bCs/>
              <w:color w:val="auto"/>
              <w:sz w:val="28"/>
              <w:szCs w:val="28"/>
            </w:rPr>
            <w:t>32</w:t>
          </w:r>
          <w:bookmarkEnd w:id="69"/>
          <w:r>
            <w:rPr>
              <w:rFonts w:hint="eastAsia" w:ascii="方正仿宋_GBK" w:hAnsi="方正仿宋_GBK" w:eastAsia="方正仿宋_GBK" w:cs="方正仿宋_GBK"/>
              <w:b/>
              <w:bCs/>
              <w:color w:val="auto"/>
              <w:sz w:val="28"/>
              <w:szCs w:val="28"/>
            </w:rPr>
            <w:fldChar w:fldCharType="end"/>
          </w:r>
        </w:p>
        <w:p>
          <w:pPr>
            <w:pStyle w:val="84"/>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_Toc13271_WPSOffice_Level2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1444c662-ac7a-4046-aef7-719b34880a9e}"/>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14.7 事故统计分析</w:t>
              </w:r>
            </w:sdtContent>
          </w:sdt>
          <w:r>
            <w:rPr>
              <w:rFonts w:hint="eastAsia" w:ascii="方正仿宋_GBK" w:hAnsi="方正仿宋_GBK" w:eastAsia="方正仿宋_GBK" w:cs="方正仿宋_GBK"/>
              <w:b/>
              <w:bCs/>
              <w:color w:val="auto"/>
              <w:sz w:val="28"/>
              <w:szCs w:val="28"/>
            </w:rPr>
            <w:tab/>
          </w:r>
          <w:bookmarkStart w:id="70" w:name="_Toc13271_WPSOffice_Level2Page"/>
          <w:r>
            <w:rPr>
              <w:rFonts w:hint="eastAsia" w:ascii="方正仿宋_GBK" w:hAnsi="方正仿宋_GBK" w:eastAsia="方正仿宋_GBK" w:cs="方正仿宋_GBK"/>
              <w:b/>
              <w:bCs/>
              <w:color w:val="auto"/>
              <w:sz w:val="28"/>
              <w:szCs w:val="28"/>
            </w:rPr>
            <w:t>33</w:t>
          </w:r>
          <w:bookmarkEnd w:id="70"/>
          <w:r>
            <w:rPr>
              <w:rFonts w:hint="eastAsia" w:ascii="方正仿宋_GBK" w:hAnsi="方正仿宋_GBK" w:eastAsia="方正仿宋_GBK" w:cs="方正仿宋_GBK"/>
              <w:b/>
              <w:bCs/>
              <w:color w:val="auto"/>
              <w:sz w:val="28"/>
              <w:szCs w:val="28"/>
            </w:rPr>
            <w:fldChar w:fldCharType="end"/>
          </w:r>
        </w:p>
        <w:p>
          <w:pPr>
            <w:pStyle w:val="83"/>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_Toc4623_WPSOffice_Level1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88580119-9777-4407-afe3-384bd7a77f2b}"/>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15 安全生产奖惩与责任追究</w:t>
              </w:r>
            </w:sdtContent>
          </w:sdt>
          <w:r>
            <w:rPr>
              <w:rFonts w:hint="eastAsia" w:ascii="方正仿宋_GBK" w:hAnsi="方正仿宋_GBK" w:eastAsia="方正仿宋_GBK" w:cs="方正仿宋_GBK"/>
              <w:b/>
              <w:bCs/>
              <w:color w:val="auto"/>
              <w:sz w:val="28"/>
              <w:szCs w:val="28"/>
            </w:rPr>
            <w:tab/>
          </w:r>
          <w:bookmarkStart w:id="71" w:name="_Toc4623_WPSOffice_Level1Page"/>
          <w:r>
            <w:rPr>
              <w:rFonts w:hint="eastAsia" w:ascii="方正仿宋_GBK" w:hAnsi="方正仿宋_GBK" w:eastAsia="方正仿宋_GBK" w:cs="方正仿宋_GBK"/>
              <w:b/>
              <w:bCs/>
              <w:color w:val="auto"/>
              <w:sz w:val="28"/>
              <w:szCs w:val="28"/>
            </w:rPr>
            <w:t>33</w:t>
          </w:r>
          <w:bookmarkEnd w:id="71"/>
          <w:r>
            <w:rPr>
              <w:rFonts w:hint="eastAsia" w:ascii="方正仿宋_GBK" w:hAnsi="方正仿宋_GBK" w:eastAsia="方正仿宋_GBK" w:cs="方正仿宋_GBK"/>
              <w:b/>
              <w:bCs/>
              <w:color w:val="auto"/>
              <w:sz w:val="28"/>
              <w:szCs w:val="28"/>
            </w:rPr>
            <w:fldChar w:fldCharType="end"/>
          </w:r>
        </w:p>
        <w:p>
          <w:pPr>
            <w:pStyle w:val="83"/>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_Toc31694_WPSOffice_Level1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4bd4e440-6389-4e70-b3e3-f18dfffc3b04}"/>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16 安全生产标准化及评价</w:t>
              </w:r>
            </w:sdtContent>
          </w:sdt>
          <w:r>
            <w:rPr>
              <w:rFonts w:hint="eastAsia" w:ascii="方正仿宋_GBK" w:hAnsi="方正仿宋_GBK" w:eastAsia="方正仿宋_GBK" w:cs="方正仿宋_GBK"/>
              <w:b/>
              <w:bCs/>
              <w:color w:val="auto"/>
              <w:sz w:val="28"/>
              <w:szCs w:val="28"/>
            </w:rPr>
            <w:tab/>
          </w:r>
          <w:bookmarkStart w:id="72" w:name="_Toc31694_WPSOffice_Level1Page"/>
          <w:r>
            <w:rPr>
              <w:rFonts w:hint="eastAsia" w:ascii="方正仿宋_GBK" w:hAnsi="方正仿宋_GBK" w:eastAsia="方正仿宋_GBK" w:cs="方正仿宋_GBK"/>
              <w:b/>
              <w:bCs/>
              <w:color w:val="auto"/>
              <w:sz w:val="28"/>
              <w:szCs w:val="28"/>
            </w:rPr>
            <w:t>35</w:t>
          </w:r>
          <w:bookmarkEnd w:id="72"/>
          <w:r>
            <w:rPr>
              <w:rFonts w:hint="eastAsia" w:ascii="方正仿宋_GBK" w:hAnsi="方正仿宋_GBK" w:eastAsia="方正仿宋_GBK" w:cs="方正仿宋_GBK"/>
              <w:b/>
              <w:bCs/>
              <w:color w:val="auto"/>
              <w:sz w:val="28"/>
              <w:szCs w:val="28"/>
            </w:rPr>
            <w:fldChar w:fldCharType="end"/>
          </w:r>
        </w:p>
        <w:p>
          <w:pPr>
            <w:pStyle w:val="83"/>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_Toc5342_WPSOffice_Level1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d5ee1538-2783-4362-89d1-b0e1f5186a04}"/>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17 附则</w:t>
              </w:r>
            </w:sdtContent>
          </w:sdt>
          <w:r>
            <w:rPr>
              <w:rFonts w:hint="eastAsia" w:ascii="方正仿宋_GBK" w:hAnsi="方正仿宋_GBK" w:eastAsia="方正仿宋_GBK" w:cs="方正仿宋_GBK"/>
              <w:b/>
              <w:bCs/>
              <w:color w:val="auto"/>
              <w:sz w:val="28"/>
              <w:szCs w:val="28"/>
            </w:rPr>
            <w:tab/>
          </w:r>
          <w:bookmarkStart w:id="73" w:name="_Toc5342_WPSOffice_Level1Page"/>
          <w:r>
            <w:rPr>
              <w:rFonts w:hint="eastAsia" w:ascii="方正仿宋_GBK" w:hAnsi="方正仿宋_GBK" w:eastAsia="方正仿宋_GBK" w:cs="方正仿宋_GBK"/>
              <w:b/>
              <w:bCs/>
              <w:color w:val="auto"/>
              <w:sz w:val="28"/>
              <w:szCs w:val="28"/>
            </w:rPr>
            <w:t>36</w:t>
          </w:r>
          <w:bookmarkEnd w:id="73"/>
          <w:r>
            <w:rPr>
              <w:rFonts w:hint="eastAsia" w:ascii="方正仿宋_GBK" w:hAnsi="方正仿宋_GBK" w:eastAsia="方正仿宋_GBK" w:cs="方正仿宋_GBK"/>
              <w:b/>
              <w:bCs/>
              <w:color w:val="auto"/>
              <w:sz w:val="28"/>
              <w:szCs w:val="28"/>
            </w:rPr>
            <w:fldChar w:fldCharType="end"/>
          </w:r>
        </w:p>
        <w:p>
          <w:pPr>
            <w:pStyle w:val="83"/>
            <w:tabs>
              <w:tab w:val="right" w:leader="dot" w:pos="8306"/>
            </w:tabs>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\l _Toc27657_WPSOffice_Level1 </w:instrText>
          </w:r>
          <w:r>
            <w:rPr>
              <w:rFonts w:hint="eastAsia" w:ascii="方正仿宋_GBK" w:hAnsi="方正仿宋_GBK" w:eastAsia="方正仿宋_GBK" w:cs="方正仿宋_GBK"/>
              <w:b/>
              <w:bCs/>
              <w:color w:val="auto"/>
              <w:sz w:val="28"/>
              <w:szCs w:val="28"/>
            </w:rPr>
            <w:fldChar w:fldCharType="separate"/>
          </w:r>
          <w:sdt>
            <w:sdtPr>
              <w:rPr>
                <w:rFonts w:hint="eastAsia" w:ascii="方正仿宋_GBK" w:hAnsi="方正仿宋_GBK" w:eastAsia="方正仿宋_GBK" w:cs="方正仿宋_GBK"/>
                <w:b/>
                <w:bCs/>
                <w:color w:val="auto"/>
                <w:kern w:val="2"/>
                <w:sz w:val="28"/>
                <w:szCs w:val="28"/>
                <w:lang w:val="en-US" w:eastAsia="zh-CN" w:bidi="ar-SA"/>
              </w:rPr>
              <w:id w:val="147456585"/>
              <w:placeholder>
                <w:docPart w:val="{3a68fd64-ba83-4718-99b8-0654ade83e2b}"/>
              </w:placeholder>
            </w:sdtPr>
            <w:sdtEndPr>
              <w:rPr>
                <w:rFonts w:hint="eastAsia" w:ascii="方正仿宋_GBK" w:hAnsi="方正仿宋_GBK" w:eastAsia="方正仿宋_GBK" w:cs="方正仿宋_GBK"/>
                <w:b/>
                <w:bCs/>
                <w:color w:val="auto"/>
                <w:kern w:val="2"/>
                <w:sz w:val="28"/>
                <w:szCs w:val="28"/>
                <w:lang w:val="en-US" w:eastAsia="zh-CN" w:bidi="ar-SA"/>
              </w:rPr>
            </w:sdtEndPr>
            <w:sdtContent>
              <w:r>
                <w:rPr>
                  <w:rFonts w:hint="eastAsia" w:ascii="方正仿宋_GBK" w:hAnsi="方正仿宋_GBK" w:eastAsia="方正仿宋_GBK" w:cs="方正仿宋_GBK"/>
                  <w:b/>
                  <w:bCs/>
                  <w:color w:val="auto"/>
                  <w:sz w:val="28"/>
                  <w:szCs w:val="28"/>
                </w:rPr>
                <w:t>附件：</w:t>
              </w:r>
            </w:sdtContent>
          </w:sdt>
          <w:r>
            <w:rPr>
              <w:rFonts w:hint="eastAsia" w:ascii="方正仿宋_GBK" w:hAnsi="方正仿宋_GBK" w:eastAsia="方正仿宋_GBK" w:cs="方正仿宋_GBK"/>
              <w:b/>
              <w:bCs/>
              <w:color w:val="auto"/>
              <w:sz w:val="28"/>
              <w:szCs w:val="28"/>
            </w:rPr>
            <w:tab/>
          </w:r>
          <w:bookmarkStart w:id="74" w:name="_Toc27657_WPSOffice_Level1Page"/>
          <w:r>
            <w:rPr>
              <w:rFonts w:hint="eastAsia" w:ascii="方正仿宋_GBK" w:hAnsi="方正仿宋_GBK" w:eastAsia="方正仿宋_GBK" w:cs="方正仿宋_GBK"/>
              <w:b/>
              <w:bCs/>
              <w:color w:val="auto"/>
              <w:sz w:val="28"/>
              <w:szCs w:val="28"/>
            </w:rPr>
            <w:t>37</w:t>
          </w:r>
          <w:bookmarkEnd w:id="74"/>
          <w:r>
            <w:rPr>
              <w:rFonts w:hint="eastAsia" w:ascii="方正仿宋_GBK" w:hAnsi="方正仿宋_GBK" w:eastAsia="方正仿宋_GBK" w:cs="方正仿宋_GBK"/>
              <w:b/>
              <w:bCs/>
              <w:color w:val="auto"/>
              <w:sz w:val="28"/>
              <w:szCs w:val="28"/>
            </w:rPr>
            <w:fldChar w:fldCharType="end"/>
          </w:r>
        </w:p>
        <w:bookmarkEnd w:id="0"/>
        <w:p>
          <w:pPr>
            <w:pStyle w:val="83"/>
            <w:tabs>
              <w:tab w:val="right" w:leader="dot" w:pos="8306"/>
            </w:tabs>
            <w:jc w:val="both"/>
            <w:rPr>
              <w:rFonts w:hint="eastAsia" w:ascii="方正仿宋_GBK" w:hAnsi="方正仿宋_GBK" w:eastAsia="方正仿宋_GBK" w:cs="方正仿宋_GBK"/>
              <w:b/>
              <w:bCs/>
              <w:color w:val="auto"/>
              <w:sz w:val="28"/>
              <w:szCs w:val="28"/>
            </w:rPr>
          </w:pPr>
        </w:p>
      </w:sdtContent>
    </w:sdt>
    <w:p>
      <w:pPr>
        <w:pStyle w:val="34"/>
        <w:spacing w:before="312" w:after="936"/>
        <w:ind w:left="0" w:leftChars="0" w:firstLine="321" w:firstLineChars="100"/>
        <w:jc w:val="both"/>
        <w:rPr>
          <w:rFonts w:hint="eastAsia" w:ascii="方正小标宋_GBK" w:hAnsi="方正小标宋_GBK" w:eastAsia="方正小标宋_GBK" w:cs="方正小标宋_GBK"/>
          <w:b/>
          <w:bCs/>
          <w:color w:val="auto"/>
          <w:sz w:val="32"/>
          <w:szCs w:val="32"/>
          <w:lang w:eastAsia="zh-CN"/>
        </w:rPr>
      </w:pPr>
    </w:p>
    <w:p>
      <w:pPr>
        <w:pStyle w:val="34"/>
        <w:spacing w:before="312" w:after="936"/>
        <w:ind w:left="0" w:leftChars="0" w:firstLine="321" w:firstLineChars="100"/>
        <w:jc w:val="both"/>
        <w:rPr>
          <w:rFonts w:hint="eastAsia" w:ascii="方正小标宋_GBK" w:hAnsi="方正小标宋_GBK" w:eastAsia="方正小标宋_GBK" w:cs="方正小标宋_GBK"/>
          <w:b/>
          <w:bCs/>
          <w:color w:val="auto"/>
          <w:sz w:val="32"/>
          <w:szCs w:val="32"/>
          <w:lang w:eastAsia="zh-CN"/>
        </w:rPr>
        <w:sectPr>
          <w:footerReference r:id="rId11" w:type="default"/>
          <w:pgSz w:w="11906" w:h="16838"/>
          <w:pgMar w:top="1440" w:right="1800" w:bottom="1440" w:left="1800" w:header="851" w:footer="992" w:gutter="0"/>
          <w:pgNumType w:fmt="decimal" w:start="1"/>
          <w:cols w:space="425" w:num="1"/>
          <w:docGrid w:type="lines" w:linePitch="312" w:charSpace="0"/>
        </w:sectPr>
      </w:pPr>
    </w:p>
    <w:p>
      <w:pPr>
        <w:pStyle w:val="34"/>
        <w:keepNext w:val="0"/>
        <w:keepLines w:val="0"/>
        <w:pageBreakBefore w:val="0"/>
        <w:widowControl w:val="0"/>
        <w:kinsoku/>
        <w:wordWrap/>
        <w:overflowPunct/>
        <w:topLinePunct w:val="0"/>
        <w:autoSpaceDE/>
        <w:autoSpaceDN/>
        <w:bidi w:val="0"/>
        <w:adjustRightInd/>
        <w:snapToGrid/>
        <w:spacing w:beforeLines="0" w:afterLines="0"/>
        <w:ind w:left="0" w:leftChars="0" w:firstLine="0" w:firstLineChars="0"/>
        <w:jc w:val="center"/>
        <w:textAlignment w:val="auto"/>
        <w:rPr>
          <w:rFonts w:hint="eastAsia" w:ascii="方正小标宋_GBK" w:hAnsi="方正小标宋_GBK" w:eastAsia="方正小标宋_GBK" w:cs="方正小标宋_GBK"/>
          <w:b/>
          <w:bCs/>
          <w:color w:val="auto"/>
          <w:sz w:val="44"/>
          <w:szCs w:val="44"/>
        </w:rPr>
      </w:pPr>
      <w:bookmarkStart w:id="75" w:name="_Toc13267_WPSOffice_Level1"/>
      <w:bookmarkStart w:id="76" w:name="_Toc8301_WPSOffice_Level1"/>
      <w:bookmarkStart w:id="77" w:name="_Toc2537_WPSOffice_Level1"/>
      <w:bookmarkStart w:id="78" w:name="_Toc28382_WPSOffice_Level1"/>
      <w:r>
        <w:rPr>
          <w:rFonts w:hint="eastAsia" w:ascii="方正小标宋_GBK" w:hAnsi="方正小标宋_GBK" w:eastAsia="方正小标宋_GBK" w:cs="方正小标宋_GBK"/>
          <w:b/>
          <w:bCs/>
          <w:color w:val="auto"/>
          <w:sz w:val="44"/>
          <w:szCs w:val="44"/>
          <w:lang w:eastAsia="zh-CN"/>
        </w:rPr>
        <w:t>阆中</w:t>
      </w:r>
      <w:r>
        <w:rPr>
          <w:rFonts w:hint="eastAsia" w:ascii="方正小标宋_GBK" w:hAnsi="方正小标宋_GBK" w:eastAsia="方正小标宋_GBK" w:cs="方正小标宋_GBK"/>
          <w:b/>
          <w:bCs/>
          <w:color w:val="auto"/>
          <w:sz w:val="44"/>
          <w:szCs w:val="44"/>
          <w:lang w:val="en-US" w:eastAsia="zh-CN"/>
        </w:rPr>
        <w:t>和美乡村旅游发展</w:t>
      </w:r>
      <w:r>
        <w:rPr>
          <w:rFonts w:hint="eastAsia" w:ascii="方正小标宋_GBK" w:hAnsi="方正小标宋_GBK" w:eastAsia="方正小标宋_GBK" w:cs="方正小标宋_GBK"/>
          <w:b/>
          <w:bCs/>
          <w:color w:val="auto"/>
          <w:sz w:val="44"/>
          <w:szCs w:val="44"/>
        </w:rPr>
        <w:t>有限公司</w:t>
      </w:r>
    </w:p>
    <w:p>
      <w:pPr>
        <w:pStyle w:val="34"/>
        <w:keepNext w:val="0"/>
        <w:keepLines w:val="0"/>
        <w:pageBreakBefore w:val="0"/>
        <w:widowControl w:val="0"/>
        <w:kinsoku/>
        <w:wordWrap/>
        <w:overflowPunct/>
        <w:topLinePunct w:val="0"/>
        <w:autoSpaceDE/>
        <w:autoSpaceDN/>
        <w:bidi w:val="0"/>
        <w:adjustRightInd/>
        <w:snapToGrid/>
        <w:spacing w:beforeLines="0" w:afterLines="0"/>
        <w:ind w:left="0" w:leftChars="0" w:firstLine="0" w:firstLineChars="0"/>
        <w:jc w:val="center"/>
        <w:textAlignment w:val="auto"/>
        <w:rPr>
          <w:rFonts w:hint="eastAsia" w:ascii="方正小标宋_GBK" w:hAnsi="方正小标宋_GBK" w:eastAsia="方正小标宋_GBK" w:cs="方正小标宋_GBK"/>
          <w:b/>
          <w:bCs/>
          <w:color w:val="auto"/>
          <w:sz w:val="44"/>
          <w:szCs w:val="44"/>
          <w:lang w:eastAsia="zh-CN"/>
        </w:rPr>
      </w:pPr>
      <w:r>
        <w:rPr>
          <w:rFonts w:hint="eastAsia" w:ascii="方正小标宋_GBK" w:hAnsi="方正小标宋_GBK" w:eastAsia="方正小标宋_GBK" w:cs="方正小标宋_GBK"/>
          <w:b/>
          <w:bCs/>
          <w:color w:val="auto"/>
          <w:sz w:val="44"/>
          <w:szCs w:val="44"/>
        </w:rPr>
        <w:t>安全生产管理制度</w:t>
      </w:r>
      <w:r>
        <w:rPr>
          <w:rFonts w:hint="eastAsia" w:ascii="方正小标宋_GBK" w:hAnsi="方正小标宋_GBK" w:eastAsia="方正小标宋_GBK" w:cs="方正小标宋_GBK"/>
          <w:b/>
          <w:bCs/>
          <w:color w:val="auto"/>
          <w:sz w:val="44"/>
          <w:szCs w:val="44"/>
          <w:lang w:eastAsia="zh-CN"/>
        </w:rPr>
        <w:t>汇编</w:t>
      </w:r>
      <w:bookmarkEnd w:id="75"/>
      <w:bookmarkEnd w:id="76"/>
      <w:bookmarkEnd w:id="77"/>
      <w:bookmarkEnd w:id="78"/>
    </w:p>
    <w:p>
      <w:pPr>
        <w:rPr>
          <w:rFonts w:hint="eastAsia"/>
          <w:color w:val="auto"/>
          <w:sz w:val="28"/>
          <w:szCs w:val="28"/>
          <w:lang w:eastAsia="zh-CN"/>
        </w:rPr>
      </w:pPr>
    </w:p>
    <w:p>
      <w:pPr>
        <w:pStyle w:val="2"/>
        <w:rPr>
          <w:rFonts w:hint="eastAsia"/>
          <w:color w:val="auto"/>
          <w:sz w:val="28"/>
          <w:szCs w:val="28"/>
        </w:rPr>
      </w:pPr>
      <w:bookmarkStart w:id="79" w:name="_Toc344546977"/>
      <w:bookmarkStart w:id="80" w:name="_Toc16853_WPSOffice_Level1"/>
      <w:bookmarkStart w:id="81" w:name="_Toc365276309"/>
      <w:bookmarkStart w:id="82" w:name="_Toc365276316"/>
      <w:bookmarkStart w:id="83" w:name="_Toc365276313"/>
      <w:bookmarkStart w:id="84" w:name="_Toc344546981"/>
      <w:r>
        <w:rPr>
          <w:rFonts w:hint="eastAsia"/>
          <w:color w:val="auto"/>
          <w:sz w:val="28"/>
          <w:szCs w:val="28"/>
        </w:rPr>
        <w:t>总则</w:t>
      </w:r>
      <w:bookmarkEnd w:id="79"/>
      <w:bookmarkEnd w:id="80"/>
      <w:bookmarkEnd w:id="81"/>
    </w:p>
    <w:p>
      <w:pPr>
        <w:pStyle w:val="3"/>
        <w:spacing w:before="156" w:after="156"/>
        <w:rPr>
          <w:rFonts w:hint="eastAsia" w:ascii="方正楷体_GBK" w:hAnsi="方正楷体_GBK" w:eastAsia="方正楷体_GBK" w:cs="方正楷体_GBK"/>
          <w:b/>
          <w:bCs/>
          <w:color w:val="auto"/>
          <w:sz w:val="32"/>
          <w:szCs w:val="32"/>
        </w:rPr>
      </w:pPr>
      <w:bookmarkStart w:id="85" w:name="_Toc19094_WPSOffice_Level2"/>
      <w:bookmarkStart w:id="86" w:name="_Toc16853_WPSOffice_Level2"/>
      <w:r>
        <w:rPr>
          <w:rFonts w:hint="eastAsia" w:ascii="方正楷体_GBK" w:hAnsi="方正楷体_GBK" w:eastAsia="方正楷体_GBK" w:cs="方正楷体_GBK"/>
          <w:b/>
          <w:bCs/>
          <w:color w:val="auto"/>
          <w:sz w:val="32"/>
          <w:szCs w:val="32"/>
        </w:rPr>
        <w:t>目的</w:t>
      </w:r>
      <w:bookmarkEnd w:id="85"/>
      <w:bookmarkEnd w:id="86"/>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为健全</w:t>
      </w:r>
      <w:r>
        <w:rPr>
          <w:rFonts w:hint="eastAsia" w:ascii="方正仿宋_GBK" w:hAnsi="方正仿宋_GBK" w:eastAsia="方正仿宋_GBK" w:cs="方正仿宋_GBK"/>
          <w:b/>
          <w:bCs/>
          <w:color w:val="auto"/>
          <w:sz w:val="28"/>
          <w:szCs w:val="28"/>
          <w:lang w:eastAsia="zh-CN"/>
        </w:rPr>
        <w:t>阆中</w:t>
      </w:r>
      <w:r>
        <w:rPr>
          <w:rFonts w:hint="eastAsia" w:ascii="方正仿宋_GBK" w:hAnsi="方正仿宋_GBK" w:eastAsia="方正仿宋_GBK" w:cs="方正仿宋_GBK"/>
          <w:b/>
          <w:bCs/>
          <w:color w:val="auto"/>
          <w:sz w:val="28"/>
          <w:szCs w:val="28"/>
          <w:lang w:val="en-US" w:eastAsia="zh-CN"/>
        </w:rPr>
        <w:t>和美乡村旅游发展</w:t>
      </w:r>
      <w:r>
        <w:rPr>
          <w:rFonts w:hint="eastAsia" w:ascii="方正仿宋_GBK" w:hAnsi="方正仿宋_GBK" w:eastAsia="方正仿宋_GBK" w:cs="方正仿宋_GBK"/>
          <w:b/>
          <w:bCs/>
          <w:color w:val="auto"/>
          <w:sz w:val="28"/>
          <w:szCs w:val="28"/>
        </w:rPr>
        <w:t>有限公司（以下简称“公司”）安全生产管理体系，落实公司、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安全生产主体责任，建立安全生产长效机制，实现安全生产管理标准化，防止和减少生产安全事故，逐步改善员工职业安全健康环境，制定本制度。</w:t>
      </w:r>
    </w:p>
    <w:p>
      <w:pPr>
        <w:pStyle w:val="3"/>
        <w:spacing w:before="156" w:after="156"/>
        <w:rPr>
          <w:rFonts w:hint="eastAsia" w:ascii="方正楷体_GBK" w:hAnsi="方正楷体_GBK" w:eastAsia="方正楷体_GBK" w:cs="方正楷体_GBK"/>
          <w:b/>
          <w:bCs/>
          <w:color w:val="auto"/>
          <w:sz w:val="28"/>
          <w:szCs w:val="28"/>
        </w:rPr>
      </w:pPr>
      <w:bookmarkStart w:id="87" w:name="_Toc25311_WPSOffice_Level2"/>
      <w:bookmarkStart w:id="88" w:name="_Toc30787_WPSOffice_Level2"/>
      <w:r>
        <w:rPr>
          <w:rFonts w:hint="eastAsia" w:ascii="方正楷体_GBK" w:hAnsi="方正楷体_GBK" w:eastAsia="方正楷体_GBK" w:cs="方正楷体_GBK"/>
          <w:b/>
          <w:bCs/>
          <w:color w:val="auto"/>
          <w:sz w:val="28"/>
          <w:szCs w:val="28"/>
        </w:rPr>
        <w:t>依据</w:t>
      </w:r>
      <w:bookmarkEnd w:id="87"/>
      <w:bookmarkEnd w:id="88"/>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本制度依据《中华人民共和国安全生产法》、国务院《建设工程安全生产管理条例》、国务院《安全生产许可证条例》、国务院《生产安全事故报告和调查处理条例》等安全生产法律法规制定。</w:t>
      </w:r>
    </w:p>
    <w:p>
      <w:pPr>
        <w:pStyle w:val="3"/>
        <w:spacing w:before="156" w:after="156"/>
        <w:rPr>
          <w:rFonts w:hint="eastAsia" w:ascii="方正楷体_GBK" w:hAnsi="方正楷体_GBK" w:eastAsia="方正楷体_GBK" w:cs="方正楷体_GBK"/>
          <w:b/>
          <w:bCs/>
          <w:color w:val="auto"/>
          <w:sz w:val="28"/>
          <w:szCs w:val="28"/>
        </w:rPr>
      </w:pPr>
      <w:bookmarkStart w:id="89" w:name="_Toc5191_WPSOffice_Level2"/>
      <w:bookmarkStart w:id="90" w:name="_Toc7817_WPSOffice_Level2"/>
      <w:r>
        <w:rPr>
          <w:rFonts w:hint="eastAsia" w:ascii="方正楷体_GBK" w:hAnsi="方正楷体_GBK" w:eastAsia="方正楷体_GBK" w:cs="方正楷体_GBK"/>
          <w:b/>
          <w:bCs/>
          <w:color w:val="auto"/>
          <w:sz w:val="28"/>
          <w:szCs w:val="28"/>
        </w:rPr>
        <w:t>适用范围</w:t>
      </w:r>
      <w:bookmarkEnd w:id="89"/>
      <w:bookmarkEnd w:id="90"/>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本</w:t>
      </w:r>
      <w:r>
        <w:rPr>
          <w:rFonts w:hint="eastAsia" w:ascii="方正仿宋_GBK" w:hAnsi="方正仿宋_GBK" w:eastAsia="方正仿宋_GBK" w:cs="方正仿宋_GBK"/>
          <w:b/>
          <w:bCs/>
          <w:color w:val="auto"/>
          <w:sz w:val="28"/>
          <w:szCs w:val="28"/>
        </w:rPr>
        <w:t>制度适用于公司及所属各</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w:t>
      </w:r>
    </w:p>
    <w:p>
      <w:pPr>
        <w:pStyle w:val="4"/>
        <w:spacing w:before="156" w:after="156"/>
        <w:ind w:left="992" w:hanging="992"/>
        <w:rPr>
          <w:rFonts w:hint="eastAsia" w:ascii="方正楷体_GBK" w:hAnsi="方正楷体_GBK" w:eastAsia="方正楷体_GBK" w:cs="方正楷体_GBK"/>
          <w:b/>
          <w:bCs/>
          <w:color w:val="auto"/>
          <w:sz w:val="28"/>
          <w:szCs w:val="28"/>
        </w:rPr>
      </w:pPr>
      <w:r>
        <w:rPr>
          <w:rFonts w:hint="eastAsia" w:ascii="方正仿宋_GBK" w:hAnsi="方正仿宋_GBK" w:eastAsia="方正仿宋_GBK" w:cs="方正仿宋_GBK"/>
          <w:b/>
          <w:bCs/>
          <w:color w:val="auto"/>
          <w:sz w:val="28"/>
          <w:szCs w:val="28"/>
        </w:rPr>
        <w:t>本制度是公司安全生产管理的纲领性文件，公司所属</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应结合本单位实际情况制定实施细则。</w:t>
      </w:r>
    </w:p>
    <w:p>
      <w:pPr>
        <w:pStyle w:val="3"/>
        <w:spacing w:before="156" w:after="156"/>
        <w:rPr>
          <w:rFonts w:hint="eastAsia" w:ascii="方正楷体_GBK" w:hAnsi="方正楷体_GBK" w:eastAsia="方正楷体_GBK" w:cs="方正楷体_GBK"/>
          <w:b/>
          <w:bCs/>
          <w:color w:val="auto"/>
          <w:sz w:val="28"/>
          <w:szCs w:val="28"/>
        </w:rPr>
      </w:pPr>
      <w:bookmarkStart w:id="91" w:name="_Toc20288_WPSOffice_Level2"/>
      <w:bookmarkStart w:id="92" w:name="_Toc2092_WPSOffice_Level2"/>
      <w:r>
        <w:rPr>
          <w:rFonts w:hint="eastAsia" w:ascii="方正楷体_GBK" w:hAnsi="方正楷体_GBK" w:eastAsia="方正楷体_GBK" w:cs="方正楷体_GBK"/>
          <w:b/>
          <w:bCs/>
          <w:color w:val="auto"/>
          <w:sz w:val="28"/>
          <w:szCs w:val="28"/>
        </w:rPr>
        <w:t>管理原则</w:t>
      </w:r>
      <w:bookmarkEnd w:id="91"/>
      <w:bookmarkEnd w:id="92"/>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坚持“安全第一、预防为主、综合治理”方针，秉承</w:t>
      </w:r>
      <w:r>
        <w:rPr>
          <w:rFonts w:hint="eastAsia" w:ascii="方正仿宋_GBK" w:hAnsi="方正仿宋_GBK" w:eastAsia="方正仿宋_GBK" w:cs="方正仿宋_GBK"/>
          <w:b/>
          <w:bCs/>
          <w:color w:val="auto"/>
          <w:sz w:val="28"/>
          <w:szCs w:val="28"/>
          <w:lang w:eastAsia="zh-CN"/>
        </w:rPr>
        <w:t>阆中城投“珍惜生命、构建和谐公司”和“以人为本、科学发展”的安全理念，持续坚持</w:t>
      </w:r>
      <w:r>
        <w:rPr>
          <w:rFonts w:hint="eastAsia" w:ascii="方正仿宋_GBK" w:hAnsi="方正仿宋_GBK" w:eastAsia="方正仿宋_GBK" w:cs="方正仿宋_GBK"/>
          <w:b/>
          <w:bCs/>
          <w:color w:val="auto"/>
          <w:sz w:val="28"/>
          <w:szCs w:val="28"/>
        </w:rPr>
        <w:t>公司“强执行、严监督、重指导、勤服务”安全管理工作理念，贯彻落实国家安全生产法律法规。</w:t>
      </w:r>
    </w:p>
    <w:p>
      <w:pPr>
        <w:pStyle w:val="3"/>
        <w:spacing w:before="156" w:after="156"/>
        <w:rPr>
          <w:rFonts w:hint="eastAsia" w:ascii="方正楷体_GBK" w:hAnsi="方正楷体_GBK" w:eastAsia="方正楷体_GBK" w:cs="方正楷体_GBK"/>
          <w:b/>
          <w:bCs/>
          <w:color w:val="auto"/>
          <w:sz w:val="28"/>
          <w:szCs w:val="28"/>
        </w:rPr>
      </w:pPr>
      <w:bookmarkStart w:id="93" w:name="_Toc19064_WPSOffice_Level2"/>
      <w:bookmarkStart w:id="94" w:name="_Toc14030_WPSOffice_Level2"/>
      <w:r>
        <w:rPr>
          <w:rFonts w:hint="eastAsia" w:ascii="方正楷体_GBK" w:hAnsi="方正楷体_GBK" w:eastAsia="方正楷体_GBK" w:cs="方正楷体_GBK"/>
          <w:b/>
          <w:bCs/>
          <w:color w:val="auto"/>
          <w:sz w:val="28"/>
          <w:szCs w:val="28"/>
        </w:rPr>
        <w:t>主要应对的风险</w:t>
      </w:r>
      <w:bookmarkEnd w:id="93"/>
      <w:bookmarkEnd w:id="94"/>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安全生产隐患风险：防范应对由于安全生产隐患引起的企业经济损失或社会损失。</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安全生产事故风险：防范应对由于安全生产事故引起的企业经济损失或社会损失。</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安全生产法律风险：防范应对由于生产活动、安全生产隐患、安全生产事故违反法律法规，引起的企业经济损失或社会损失。</w:t>
      </w:r>
    </w:p>
    <w:p>
      <w:pPr>
        <w:pStyle w:val="3"/>
        <w:spacing w:before="156" w:after="156"/>
        <w:rPr>
          <w:rFonts w:hint="eastAsia" w:ascii="方正楷体_GBK" w:hAnsi="方正楷体_GBK" w:eastAsia="方正楷体_GBK" w:cs="方正楷体_GBK"/>
          <w:b/>
          <w:bCs/>
          <w:color w:val="auto"/>
          <w:sz w:val="28"/>
          <w:szCs w:val="28"/>
        </w:rPr>
      </w:pPr>
      <w:bookmarkStart w:id="95" w:name="_Toc25591_WPSOffice_Level2"/>
      <w:bookmarkStart w:id="96" w:name="_Toc2263_WPSOffice_Level2"/>
      <w:r>
        <w:rPr>
          <w:rFonts w:hint="eastAsia" w:ascii="方正楷体_GBK" w:hAnsi="方正楷体_GBK" w:eastAsia="方正楷体_GBK" w:cs="方正楷体_GBK"/>
          <w:b/>
          <w:bCs/>
          <w:color w:val="auto"/>
          <w:sz w:val="28"/>
          <w:szCs w:val="28"/>
        </w:rPr>
        <w:t>定义与术语</w:t>
      </w:r>
      <w:bookmarkEnd w:id="95"/>
      <w:bookmarkEnd w:id="96"/>
    </w:p>
    <w:p>
      <w:pPr>
        <w:pStyle w:val="4"/>
        <w:spacing w:before="156" w:after="156"/>
        <w:ind w:left="992" w:hanging="992"/>
        <w:rPr>
          <w:rFonts w:hint="eastAsia" w:ascii="方正仿宋_GBK" w:hAnsi="方正仿宋_GBK" w:eastAsia="方正仿宋_GBK" w:cs="方正仿宋_GBK"/>
          <w:b/>
          <w:bCs/>
          <w:color w:val="auto"/>
          <w:sz w:val="28"/>
          <w:szCs w:val="28"/>
        </w:rPr>
      </w:pPr>
      <w:bookmarkStart w:id="97" w:name="_Toc230355225"/>
      <w:bookmarkStart w:id="98" w:name="_Toc205195838"/>
      <w:r>
        <w:rPr>
          <w:rFonts w:hint="eastAsia" w:ascii="方正楷体_GBK" w:hAnsi="方正楷体_GBK" w:eastAsia="方正楷体_GBK" w:cs="方正楷体_GBK"/>
          <w:b/>
          <w:bCs/>
          <w:color w:val="auto"/>
          <w:sz w:val="28"/>
          <w:szCs w:val="28"/>
        </w:rPr>
        <w:t>“</w:t>
      </w:r>
      <w:r>
        <w:rPr>
          <w:rFonts w:hint="eastAsia" w:ascii="方正仿宋_GBK" w:hAnsi="方正仿宋_GBK" w:eastAsia="方正仿宋_GBK" w:cs="方正仿宋_GBK"/>
          <w:b/>
          <w:bCs/>
          <w:color w:val="auto"/>
          <w:sz w:val="28"/>
          <w:szCs w:val="28"/>
        </w:rPr>
        <w:t>公司”指</w:t>
      </w:r>
      <w:r>
        <w:rPr>
          <w:rFonts w:hint="eastAsia" w:ascii="方正仿宋_GBK" w:hAnsi="方正仿宋_GBK" w:eastAsia="方正仿宋_GBK" w:cs="方正仿宋_GBK"/>
          <w:b/>
          <w:bCs/>
          <w:color w:val="auto"/>
          <w:sz w:val="28"/>
          <w:szCs w:val="28"/>
          <w:lang w:eastAsia="zh-CN"/>
        </w:rPr>
        <w:t>阆中</w:t>
      </w:r>
      <w:r>
        <w:rPr>
          <w:rFonts w:hint="eastAsia" w:ascii="方正仿宋_GBK" w:hAnsi="方正仿宋_GBK" w:eastAsia="方正仿宋_GBK" w:cs="方正仿宋_GBK"/>
          <w:b/>
          <w:bCs/>
          <w:color w:val="auto"/>
          <w:sz w:val="28"/>
          <w:szCs w:val="28"/>
          <w:lang w:val="en-US" w:eastAsia="zh-CN"/>
        </w:rPr>
        <w:t>和美乡村旅游发展</w:t>
      </w:r>
      <w:r>
        <w:rPr>
          <w:rFonts w:hint="eastAsia" w:ascii="方正仿宋_GBK" w:hAnsi="方正仿宋_GBK" w:eastAsia="方正仿宋_GBK" w:cs="方正仿宋_GBK"/>
          <w:b/>
          <w:bCs/>
          <w:color w:val="auto"/>
          <w:sz w:val="28"/>
          <w:szCs w:val="28"/>
        </w:rPr>
        <w:t>有限公司。</w:t>
      </w:r>
      <w:bookmarkStart w:id="257" w:name="_GoBack"/>
      <w:bookmarkEnd w:id="257"/>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”指公司所属各</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”指</w:t>
      </w:r>
      <w:r>
        <w:rPr>
          <w:rFonts w:hint="eastAsia" w:ascii="方正仿宋_GBK" w:hAnsi="方正仿宋_GBK" w:eastAsia="方正仿宋_GBK" w:cs="方正仿宋_GBK"/>
          <w:b/>
          <w:bCs/>
          <w:color w:val="auto"/>
          <w:sz w:val="28"/>
          <w:szCs w:val="28"/>
          <w:lang w:val="en-US" w:eastAsia="zh-CN"/>
        </w:rPr>
        <w:t>各景区</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val="en-US" w:eastAsia="zh-CN"/>
        </w:rPr>
        <w:t>经营中心（点位）</w:t>
      </w:r>
      <w:r>
        <w:rPr>
          <w:rFonts w:hint="eastAsia" w:ascii="方正仿宋_GBK" w:hAnsi="方正仿宋_GBK" w:eastAsia="方正仿宋_GBK" w:cs="方正仿宋_GBK"/>
          <w:b/>
          <w:bCs/>
          <w:color w:val="auto"/>
          <w:sz w:val="28"/>
          <w:szCs w:val="28"/>
          <w:lang w:eastAsia="zh-CN"/>
        </w:rPr>
        <w:t>、</w:t>
      </w:r>
      <w:r>
        <w:rPr>
          <w:rFonts w:hint="eastAsia" w:ascii="方正仿宋_GBK" w:hAnsi="方正仿宋_GBK" w:eastAsia="方正仿宋_GBK" w:cs="方正仿宋_GBK"/>
          <w:b/>
          <w:bCs/>
          <w:color w:val="auto"/>
          <w:sz w:val="28"/>
          <w:szCs w:val="28"/>
          <w:lang w:val="en-US" w:eastAsia="zh-CN"/>
        </w:rPr>
        <w:t>酒店客栈</w:t>
      </w:r>
      <w:r>
        <w:rPr>
          <w:rFonts w:hint="eastAsia" w:ascii="方正仿宋_GBK" w:hAnsi="方正仿宋_GBK" w:eastAsia="方正仿宋_GBK" w:cs="方正仿宋_GBK"/>
          <w:b/>
          <w:bCs/>
          <w:color w:val="auto"/>
          <w:sz w:val="28"/>
          <w:szCs w:val="28"/>
        </w:rPr>
        <w:t>等直接进行生产或经营任务的</w:t>
      </w:r>
      <w:r>
        <w:rPr>
          <w:rFonts w:hint="eastAsia" w:ascii="方正仿宋_GBK" w:hAnsi="方正仿宋_GBK" w:eastAsia="方正仿宋_GBK" w:cs="方正仿宋_GBK"/>
          <w:b/>
          <w:bCs/>
          <w:color w:val="auto"/>
          <w:sz w:val="28"/>
          <w:szCs w:val="28"/>
          <w:lang w:val="en-US" w:eastAsia="zh-CN"/>
        </w:rPr>
        <w:t>组织</w:t>
      </w:r>
      <w:r>
        <w:rPr>
          <w:rFonts w:hint="eastAsia" w:ascii="方正仿宋_GBK" w:hAnsi="方正仿宋_GBK" w:eastAsia="方正仿宋_GBK" w:cs="方正仿宋_GBK"/>
          <w:b/>
          <w:bCs/>
          <w:color w:val="auto"/>
          <w:sz w:val="28"/>
          <w:szCs w:val="28"/>
        </w:rPr>
        <w:t>机构。</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“主要负责人”指公司的</w:t>
      </w:r>
      <w:r>
        <w:rPr>
          <w:rFonts w:hint="eastAsia" w:ascii="方正仿宋_GBK" w:hAnsi="方正仿宋_GBK" w:eastAsia="方正仿宋_GBK" w:cs="方正仿宋_GBK"/>
          <w:b/>
          <w:bCs/>
          <w:color w:val="auto"/>
          <w:sz w:val="28"/>
          <w:szCs w:val="28"/>
          <w:lang w:val="en-US" w:eastAsia="zh-CN"/>
        </w:rPr>
        <w:t>法人、</w:t>
      </w:r>
      <w:r>
        <w:rPr>
          <w:rFonts w:hint="eastAsia" w:ascii="方正仿宋_GBK" w:hAnsi="方正仿宋_GBK" w:eastAsia="方正仿宋_GBK" w:cs="方正仿宋_GBK"/>
          <w:b/>
          <w:bCs/>
          <w:color w:val="auto"/>
          <w:sz w:val="28"/>
          <w:szCs w:val="28"/>
        </w:rPr>
        <w:t>董事长、党委书记、总经理</w:t>
      </w:r>
      <w:r>
        <w:rPr>
          <w:rFonts w:hint="eastAsia" w:ascii="方正仿宋_GBK" w:hAnsi="方正仿宋_GBK" w:eastAsia="方正仿宋_GBK" w:cs="方正仿宋_GBK"/>
          <w:b/>
          <w:bCs/>
          <w:color w:val="auto"/>
          <w:sz w:val="28"/>
          <w:szCs w:val="28"/>
          <w:lang w:eastAsia="zh-CN"/>
        </w:rPr>
        <w:t>、</w:t>
      </w:r>
      <w:r>
        <w:rPr>
          <w:rFonts w:hint="eastAsia" w:ascii="方正仿宋_GBK" w:hAnsi="方正仿宋_GBK" w:eastAsia="方正仿宋_GBK" w:cs="方正仿宋_GBK"/>
          <w:b/>
          <w:bCs/>
          <w:color w:val="auto"/>
          <w:sz w:val="28"/>
          <w:szCs w:val="28"/>
          <w:lang w:val="en-US" w:eastAsia="zh-CN"/>
        </w:rPr>
        <w:t>安全总监（副总）</w:t>
      </w:r>
      <w:r>
        <w:rPr>
          <w:rFonts w:hint="eastAsia" w:ascii="方正仿宋_GBK" w:hAnsi="方正仿宋_GBK" w:eastAsia="方正仿宋_GBK" w:cs="方正仿宋_GBK"/>
          <w:b/>
          <w:bCs/>
          <w:color w:val="auto"/>
          <w:sz w:val="28"/>
          <w:szCs w:val="28"/>
        </w:rPr>
        <w:t>和</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lang w:val="en-US" w:eastAsia="zh-CN"/>
        </w:rPr>
        <w:t>分管领导、法人、总</w:t>
      </w:r>
      <w:r>
        <w:rPr>
          <w:rFonts w:hint="eastAsia" w:ascii="方正仿宋_GBK" w:hAnsi="方正仿宋_GBK" w:eastAsia="方正仿宋_GBK" w:cs="方正仿宋_GBK"/>
          <w:b/>
          <w:bCs/>
          <w:color w:val="auto"/>
          <w:sz w:val="28"/>
          <w:szCs w:val="28"/>
        </w:rPr>
        <w:t>经理</w:t>
      </w:r>
      <w:r>
        <w:rPr>
          <w:rFonts w:hint="eastAsia" w:ascii="方正仿宋_GBK" w:hAnsi="方正仿宋_GBK" w:eastAsia="方正仿宋_GBK" w:cs="方正仿宋_GBK"/>
          <w:b/>
          <w:bCs/>
          <w:color w:val="auto"/>
          <w:sz w:val="28"/>
          <w:szCs w:val="28"/>
          <w:lang w:eastAsia="zh-CN"/>
        </w:rPr>
        <w:t>、副</w:t>
      </w:r>
      <w:r>
        <w:rPr>
          <w:rFonts w:hint="eastAsia" w:ascii="方正仿宋_GBK" w:hAnsi="方正仿宋_GBK" w:eastAsia="方正仿宋_GBK" w:cs="方正仿宋_GBK"/>
          <w:b/>
          <w:bCs/>
          <w:color w:val="auto"/>
          <w:sz w:val="28"/>
          <w:szCs w:val="28"/>
          <w:lang w:val="en-US" w:eastAsia="zh-CN"/>
        </w:rPr>
        <w:t>总</w:t>
      </w:r>
      <w:r>
        <w:rPr>
          <w:rFonts w:hint="eastAsia" w:ascii="方正仿宋_GBK" w:hAnsi="方正仿宋_GBK" w:eastAsia="方正仿宋_GBK" w:cs="方正仿宋_GBK"/>
          <w:b/>
          <w:bCs/>
          <w:color w:val="auto"/>
          <w:sz w:val="28"/>
          <w:szCs w:val="28"/>
          <w:lang w:eastAsia="zh-CN"/>
        </w:rPr>
        <w:t>经理</w:t>
      </w:r>
      <w:r>
        <w:rPr>
          <w:rFonts w:hint="eastAsia" w:ascii="方正仿宋_GBK" w:hAnsi="方正仿宋_GBK" w:eastAsia="方正仿宋_GBK" w:cs="方正仿宋_GBK"/>
          <w:b/>
          <w:bCs/>
          <w:color w:val="auto"/>
          <w:sz w:val="28"/>
          <w:szCs w:val="28"/>
        </w:rPr>
        <w:t>；“有关负责人”指除“公司、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主要负责人”之外的相关领导；“</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主要负责人”指项目部的项目经理</w:t>
      </w:r>
      <w:r>
        <w:rPr>
          <w:rFonts w:hint="eastAsia" w:ascii="方正仿宋_GBK" w:hAnsi="方正仿宋_GBK" w:eastAsia="方正仿宋_GBK" w:cs="方正仿宋_GBK"/>
          <w:b/>
          <w:bCs/>
          <w:color w:val="auto"/>
          <w:sz w:val="28"/>
          <w:szCs w:val="28"/>
          <w:lang w:eastAsia="zh-CN"/>
        </w:rPr>
        <w:t>、</w:t>
      </w:r>
      <w:r>
        <w:rPr>
          <w:rFonts w:hint="eastAsia" w:ascii="方正仿宋_GBK" w:hAnsi="方正仿宋_GBK" w:eastAsia="方正仿宋_GBK" w:cs="方正仿宋_GBK"/>
          <w:b/>
          <w:bCs/>
          <w:color w:val="auto"/>
          <w:sz w:val="28"/>
          <w:szCs w:val="28"/>
          <w:lang w:val="en-US" w:eastAsia="zh-CN"/>
        </w:rPr>
        <w:t>经营中心</w:t>
      </w:r>
      <w:r>
        <w:rPr>
          <w:rFonts w:hint="eastAsia" w:ascii="方正仿宋_GBK" w:hAnsi="方正仿宋_GBK" w:eastAsia="方正仿宋_GBK" w:cs="方正仿宋_GBK"/>
          <w:b/>
          <w:bCs/>
          <w:color w:val="auto"/>
          <w:sz w:val="28"/>
          <w:szCs w:val="28"/>
          <w:lang w:eastAsia="zh-CN"/>
        </w:rPr>
        <w:t>负责人、</w:t>
      </w:r>
      <w:r>
        <w:rPr>
          <w:rFonts w:hint="eastAsia" w:ascii="方正仿宋_GBK" w:hAnsi="方正仿宋_GBK" w:eastAsia="方正仿宋_GBK" w:cs="方正仿宋_GBK"/>
          <w:b/>
          <w:bCs/>
          <w:color w:val="auto"/>
          <w:sz w:val="28"/>
          <w:szCs w:val="28"/>
          <w:lang w:val="en-US" w:eastAsia="zh-CN"/>
        </w:rPr>
        <w:t>酒店客栈</w:t>
      </w:r>
      <w:r>
        <w:rPr>
          <w:rFonts w:hint="eastAsia" w:ascii="方正仿宋_GBK" w:hAnsi="方正仿宋_GBK" w:eastAsia="方正仿宋_GBK" w:cs="方正仿宋_GBK"/>
          <w:b/>
          <w:bCs/>
          <w:color w:val="auto"/>
          <w:sz w:val="28"/>
          <w:szCs w:val="28"/>
          <w:lang w:eastAsia="zh-CN"/>
        </w:rPr>
        <w:t>经理</w:t>
      </w:r>
      <w:r>
        <w:rPr>
          <w:rFonts w:hint="eastAsia" w:ascii="方正仿宋_GBK" w:hAnsi="方正仿宋_GBK" w:eastAsia="方正仿宋_GBK" w:cs="方正仿宋_GBK"/>
          <w:b/>
          <w:bCs/>
          <w:color w:val="auto"/>
          <w:sz w:val="28"/>
          <w:szCs w:val="28"/>
        </w:rPr>
        <w:t>等。</w:t>
      </w:r>
    </w:p>
    <w:bookmarkEnd w:id="97"/>
    <w:bookmarkEnd w:id="98"/>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“年收入”指</w:t>
      </w:r>
      <w:r>
        <w:rPr>
          <w:rFonts w:hint="eastAsia" w:ascii="方正仿宋_GBK" w:hAnsi="方正仿宋_GBK" w:eastAsia="方正仿宋_GBK" w:cs="方正仿宋_GBK"/>
          <w:b/>
          <w:bCs/>
          <w:color w:val="auto"/>
          <w:sz w:val="28"/>
          <w:szCs w:val="28"/>
          <w:lang w:val="en-US" w:eastAsia="zh-CN"/>
        </w:rPr>
        <w:t>公司、项目或个人年度</w:t>
      </w:r>
      <w:r>
        <w:rPr>
          <w:rFonts w:hint="eastAsia" w:ascii="方正仿宋_GBK" w:hAnsi="方正仿宋_GBK" w:eastAsia="方正仿宋_GBK" w:cs="方正仿宋_GBK"/>
          <w:b/>
          <w:bCs/>
          <w:color w:val="auto"/>
          <w:sz w:val="28"/>
          <w:szCs w:val="28"/>
        </w:rPr>
        <w:t>总收入。</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“责任追究事项”指发生生产安全事故、不按规定上报、安全生产组织机构不符合规定</w:t>
      </w:r>
      <w:r>
        <w:rPr>
          <w:rFonts w:hint="eastAsia" w:ascii="方正仿宋_GBK" w:hAnsi="方正仿宋_GBK" w:eastAsia="方正仿宋_GBK" w:cs="方正仿宋_GBK"/>
          <w:b/>
          <w:bCs/>
          <w:color w:val="auto"/>
          <w:sz w:val="28"/>
          <w:szCs w:val="28"/>
          <w:lang w:eastAsia="zh-CN"/>
        </w:rPr>
        <w:t>、</w:t>
      </w:r>
      <w:r>
        <w:rPr>
          <w:rFonts w:hint="eastAsia" w:ascii="方正仿宋_GBK" w:hAnsi="方正仿宋_GBK" w:eastAsia="方正仿宋_GBK" w:cs="方正仿宋_GBK"/>
          <w:b/>
          <w:bCs/>
          <w:color w:val="auto"/>
          <w:sz w:val="28"/>
          <w:szCs w:val="28"/>
          <w:lang w:val="en-US" w:eastAsia="zh-CN"/>
        </w:rPr>
        <w:t>未贯彻执行相关安全生产管理制度</w:t>
      </w:r>
      <w:r>
        <w:rPr>
          <w:rFonts w:hint="eastAsia" w:ascii="方正仿宋_GBK" w:hAnsi="方正仿宋_GBK" w:eastAsia="方正仿宋_GBK" w:cs="方正仿宋_GBK"/>
          <w:b/>
          <w:bCs/>
          <w:color w:val="auto"/>
          <w:sz w:val="28"/>
          <w:szCs w:val="28"/>
        </w:rPr>
        <w:t>等</w:t>
      </w:r>
      <w:r>
        <w:rPr>
          <w:rFonts w:hint="eastAsia" w:ascii="方正仿宋_GBK" w:hAnsi="方正仿宋_GBK" w:eastAsia="方正仿宋_GBK" w:cs="方正仿宋_GBK"/>
          <w:b/>
          <w:bCs/>
          <w:color w:val="auto"/>
          <w:sz w:val="28"/>
          <w:szCs w:val="28"/>
          <w:lang w:val="en-US" w:eastAsia="zh-CN"/>
        </w:rPr>
        <w:t>事项</w:t>
      </w:r>
      <w:r>
        <w:rPr>
          <w:rFonts w:hint="eastAsia" w:ascii="方正仿宋_GBK" w:hAnsi="方正仿宋_GBK" w:eastAsia="方正仿宋_GBK" w:cs="方正仿宋_GBK"/>
          <w:b/>
          <w:bCs/>
          <w:color w:val="auto"/>
          <w:sz w:val="28"/>
          <w:szCs w:val="28"/>
        </w:rPr>
        <w:t>。</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“责任追究方式”</w:t>
      </w:r>
      <w:r>
        <w:rPr>
          <w:rFonts w:hint="eastAsia" w:ascii="方正仿宋_GBK" w:hAnsi="方正仿宋_GBK" w:eastAsia="方正仿宋_GBK" w:cs="方正仿宋_GBK"/>
          <w:b/>
          <w:bCs/>
          <w:color w:val="auto"/>
          <w:sz w:val="28"/>
          <w:szCs w:val="28"/>
          <w:lang w:eastAsia="zh-CN"/>
        </w:rPr>
        <w:t>指约谈</w:t>
      </w:r>
      <w:r>
        <w:rPr>
          <w:rFonts w:hint="eastAsia" w:ascii="方正仿宋_GBK" w:hAnsi="方正仿宋_GBK" w:eastAsia="方正仿宋_GBK" w:cs="方正仿宋_GBK"/>
          <w:b/>
          <w:bCs/>
          <w:color w:val="auto"/>
          <w:sz w:val="28"/>
          <w:szCs w:val="28"/>
        </w:rPr>
        <w:t>、通报批评、经济处罚、责令辞职或免职</w:t>
      </w:r>
      <w:r>
        <w:rPr>
          <w:rFonts w:hint="eastAsia" w:ascii="方正仿宋_GBK" w:hAnsi="方正仿宋_GBK" w:eastAsia="方正仿宋_GBK" w:cs="方正仿宋_GBK"/>
          <w:b/>
          <w:bCs/>
          <w:color w:val="auto"/>
          <w:sz w:val="28"/>
          <w:szCs w:val="28"/>
          <w:lang w:eastAsia="zh-CN"/>
        </w:rPr>
        <w:t>、</w:t>
      </w:r>
      <w:r>
        <w:rPr>
          <w:rFonts w:hint="eastAsia" w:ascii="方正仿宋_GBK" w:hAnsi="方正仿宋_GBK" w:eastAsia="方正仿宋_GBK" w:cs="方正仿宋_GBK"/>
          <w:b/>
          <w:bCs/>
          <w:color w:val="auto"/>
          <w:sz w:val="28"/>
          <w:szCs w:val="28"/>
        </w:rPr>
        <w:t>按照有关规定，给予党纪政纪处分</w:t>
      </w:r>
      <w:r>
        <w:rPr>
          <w:rFonts w:hint="eastAsia" w:ascii="方正仿宋_GBK" w:hAnsi="方正仿宋_GBK" w:eastAsia="方正仿宋_GBK" w:cs="方正仿宋_GBK"/>
          <w:b/>
          <w:bCs/>
          <w:color w:val="auto"/>
          <w:sz w:val="28"/>
          <w:szCs w:val="28"/>
          <w:lang w:eastAsia="zh-CN"/>
        </w:rPr>
        <w:t>、</w:t>
      </w:r>
      <w:r>
        <w:rPr>
          <w:rFonts w:hint="eastAsia" w:ascii="方正仿宋_GBK" w:hAnsi="方正仿宋_GBK" w:eastAsia="方正仿宋_GBK" w:cs="方正仿宋_GBK"/>
          <w:b/>
          <w:bCs/>
          <w:color w:val="auto"/>
          <w:sz w:val="28"/>
          <w:szCs w:val="28"/>
        </w:rPr>
        <w:t>涉嫌犯罪的，移送司法机关追究刑事责任。</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“生产安全事故”指生产经营活动中发生的造成人员伤亡、职业病、财产损失或其他损失的意外事件（包括火灾、急性工业中毒），简称“事故”。</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“特别重大事故”指造成30人以上死亡，或者100人以上重伤，或者1亿元以上直接经济损失的事故。</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“重大事故”指造成10人以上30人以下死亡，或者50人以上100人以下重伤，或者5000万元以上1亿元以下直接经济损失的事故。</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“较大事故”指造成3人以上10人以下死亡，或者10人以上50人以下重伤，或者1000万元以上5000万元以下直接经济损失的事故。</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“一般事故”指造成3人以下死亡，或者10人以下重伤，或者1000万元以下直接经济损失的事故。</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“A级一般事故”指造成1人以上3人以下死亡，或者3人以上10人以下重伤，或者100万元以上1000万元以下直接经济损失的一般事故。</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B级一般事故”指A级以下且造成一定后果的一般事故，包括造成1人五级伤残及以上的重伤事故、10万元以上100万元以下直接经济损失的一般财产损失事故、损坏市政设施/构筑物造成很大社会影响的事故、被主流媒体披露社会影响恶劣的安全事故/事件等。</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C级一般事故”指B级以下且造成一定后果的一般事故，包括导致十级以上五级以下伤残的重伤事故、1万元以上10万元以下直接经济损失的一般财产损失事故、损坏市政基础设施/构筑物造成负面社会影响的安全事故、有负面影响的安全事件和媒体曝光事件等。</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“D级一般事故”指C级以下的一般事故，包括未达到伤残等级的重伤事故、轻伤事故、微伤事故、直接经济损失1万元以下的一般财产损失事故、严重未遂事故。</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“安全考核事故”，指列入安全业绩考核指标的</w:t>
      </w:r>
      <w:r>
        <w:rPr>
          <w:rFonts w:hint="eastAsia" w:ascii="方正仿宋_GBK" w:hAnsi="方正仿宋_GBK" w:eastAsia="方正仿宋_GBK" w:cs="方正仿宋_GBK"/>
          <w:b/>
          <w:bCs/>
          <w:color w:val="auto"/>
          <w:sz w:val="28"/>
          <w:szCs w:val="28"/>
          <w:lang w:val="en-US" w:eastAsia="zh-CN"/>
        </w:rPr>
        <w:t>C</w:t>
      </w:r>
      <w:r>
        <w:rPr>
          <w:rFonts w:hint="eastAsia" w:ascii="方正仿宋_GBK" w:hAnsi="方正仿宋_GBK" w:eastAsia="方正仿宋_GBK" w:cs="方正仿宋_GBK"/>
          <w:b/>
          <w:bCs/>
          <w:color w:val="auto"/>
          <w:sz w:val="28"/>
          <w:szCs w:val="28"/>
        </w:rPr>
        <w:t>级一般及以上生产安全事故，简称“考核事故”。包括：</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1）政府认定负有责任的；</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2）被住建</w:t>
      </w:r>
      <w:r>
        <w:rPr>
          <w:rFonts w:hint="eastAsia" w:ascii="方正仿宋_GBK" w:hAnsi="方正仿宋_GBK" w:eastAsia="方正仿宋_GBK" w:cs="方正仿宋_GBK"/>
          <w:b/>
          <w:bCs/>
          <w:color w:val="auto"/>
          <w:sz w:val="28"/>
          <w:szCs w:val="28"/>
          <w:lang w:eastAsia="zh-CN"/>
        </w:rPr>
        <w:t>部门</w:t>
      </w:r>
      <w:r>
        <w:rPr>
          <w:rFonts w:hint="eastAsia" w:ascii="方正仿宋_GBK" w:hAnsi="方正仿宋_GBK" w:eastAsia="方正仿宋_GBK" w:cs="方正仿宋_GBK"/>
          <w:b/>
          <w:bCs/>
          <w:color w:val="auto"/>
          <w:sz w:val="28"/>
          <w:szCs w:val="28"/>
        </w:rPr>
        <w:t>网站“事故快报”栏通报且负有责任的；</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3）导致公司被省级建设行政主管部门暂停投标的；</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4）导致公司安全生产许可证被暂扣的；</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5</w:t>
      </w:r>
      <w:r>
        <w:rPr>
          <w:rFonts w:hint="eastAsia" w:ascii="方正仿宋_GBK" w:hAnsi="方正仿宋_GBK" w:eastAsia="方正仿宋_GBK" w:cs="方正仿宋_GBK"/>
          <w:b/>
          <w:bCs/>
          <w:color w:val="auto"/>
          <w:sz w:val="28"/>
          <w:szCs w:val="28"/>
        </w:rPr>
        <w:t>）其它造成严重负面影响的安全事件。</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注：上述定义中“以上”包括本数，“以下”不包括本数，下同。</w:t>
      </w:r>
    </w:p>
    <w:p>
      <w:pPr>
        <w:pStyle w:val="2"/>
        <w:spacing w:before="156" w:after="156"/>
        <w:rPr>
          <w:rFonts w:hint="eastAsia" w:ascii="方正黑体_GBK" w:hAnsi="方正黑体_GBK" w:eastAsia="方正黑体_GBK" w:cs="方正黑体_GBK"/>
          <w:b/>
          <w:bCs/>
          <w:color w:val="auto"/>
          <w:sz w:val="28"/>
          <w:szCs w:val="28"/>
        </w:rPr>
      </w:pPr>
      <w:bookmarkStart w:id="99" w:name="_Toc344546978"/>
      <w:bookmarkStart w:id="100" w:name="_Toc365276310"/>
      <w:bookmarkStart w:id="101" w:name="_Toc30787_WPSOffice_Level1"/>
      <w:r>
        <w:rPr>
          <w:rFonts w:hint="eastAsia" w:ascii="方正黑体_GBK" w:hAnsi="方正黑体_GBK" w:eastAsia="方正黑体_GBK" w:cs="方正黑体_GBK"/>
          <w:b/>
          <w:bCs/>
          <w:color w:val="auto"/>
          <w:sz w:val="28"/>
          <w:szCs w:val="28"/>
        </w:rPr>
        <w:t>安全</w:t>
      </w:r>
      <w:bookmarkEnd w:id="99"/>
      <w:r>
        <w:rPr>
          <w:rFonts w:hint="eastAsia" w:ascii="方正黑体_GBK" w:hAnsi="方正黑体_GBK" w:eastAsia="方正黑体_GBK" w:cs="方正黑体_GBK"/>
          <w:b/>
          <w:bCs/>
          <w:color w:val="auto"/>
          <w:sz w:val="28"/>
          <w:szCs w:val="28"/>
        </w:rPr>
        <w:t>管理组织</w:t>
      </w:r>
      <w:bookmarkEnd w:id="100"/>
      <w:bookmarkEnd w:id="101"/>
    </w:p>
    <w:p>
      <w:pPr>
        <w:pStyle w:val="3"/>
        <w:spacing w:before="156" w:after="156"/>
        <w:rPr>
          <w:rFonts w:hint="eastAsia" w:ascii="方正楷体_GBK" w:hAnsi="方正楷体_GBK" w:eastAsia="方正楷体_GBK" w:cs="方正楷体_GBK"/>
          <w:b/>
          <w:bCs/>
          <w:color w:val="auto"/>
          <w:sz w:val="28"/>
          <w:szCs w:val="28"/>
        </w:rPr>
      </w:pPr>
      <w:bookmarkStart w:id="102" w:name="_Toc32319_WPSOffice_Level2"/>
      <w:bookmarkStart w:id="103" w:name="_Toc24656_WPSOffice_Level2"/>
      <w:r>
        <w:rPr>
          <w:rFonts w:hint="eastAsia" w:ascii="方正楷体_GBK" w:hAnsi="方正楷体_GBK" w:eastAsia="方正楷体_GBK" w:cs="方正楷体_GBK"/>
          <w:b/>
          <w:bCs/>
          <w:color w:val="auto"/>
          <w:sz w:val="28"/>
          <w:szCs w:val="28"/>
        </w:rPr>
        <w:t>公司安全管理组织</w:t>
      </w:r>
      <w:bookmarkEnd w:id="102"/>
      <w:bookmarkEnd w:id="103"/>
    </w:p>
    <w:p>
      <w:pPr>
        <w:pStyle w:val="4"/>
        <w:spacing w:before="156" w:after="156"/>
        <w:ind w:left="992" w:hanging="992"/>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公司成立安全生产委员会，安全生产委员会是安全生产最高决策机构，统一领导全公司安全生产工作。公司安全生产领导小组设立双组长，具体组成如下：</w:t>
      </w:r>
    </w:p>
    <w:p>
      <w:pPr>
        <w:spacing w:before="156" w:after="156"/>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主  任：法人代表（董事长）、总经理</w:t>
      </w:r>
    </w:p>
    <w:p>
      <w:pPr>
        <w:spacing w:before="156" w:after="156"/>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代理主任：分管生产副总经理</w:t>
      </w:r>
    </w:p>
    <w:p>
      <w:pPr>
        <w:spacing w:before="156" w:after="156"/>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副主任：公司副职领导</w:t>
      </w:r>
    </w:p>
    <w:p>
      <w:pPr>
        <w:spacing w:before="156" w:after="156"/>
        <w:rPr>
          <w:rFonts w:hint="default"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成  员：公司各部门经理、副经理，子公司总经理、副总经理、总经理助理</w:t>
      </w:r>
    </w:p>
    <w:p>
      <w:pPr>
        <w:spacing w:before="156" w:after="156"/>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安全生产领导小组办公室设在公司安全生产监督管理部门，办公室主任由安全生产监督管理部门经理兼任。安全生产领导小组办公室是安全生产领导小组日常办事机构，负责处理安全生产领导小组的日常事务。</w:t>
      </w:r>
    </w:p>
    <w:p>
      <w:pPr>
        <w:pStyle w:val="4"/>
        <w:spacing w:before="156" w:after="156"/>
        <w:ind w:left="992" w:hanging="992"/>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公司安全生产委员会履行如下主要职能：</w:t>
      </w:r>
    </w:p>
    <w:p>
      <w:pPr>
        <w:spacing w:before="156" w:after="156"/>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1）贯彻落实国家安全生产方针政策、法律法规；</w:t>
      </w:r>
    </w:p>
    <w:p>
      <w:pPr>
        <w:spacing w:before="156" w:after="156"/>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2）组织制定安全生产中长期发展规划和目标；</w:t>
      </w:r>
    </w:p>
    <w:p>
      <w:pPr>
        <w:spacing w:before="156" w:after="156"/>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3）健全安全生产体系，保障安全生产费用投入；</w:t>
      </w:r>
    </w:p>
    <w:p>
      <w:pPr>
        <w:spacing w:before="156" w:after="156"/>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4）对子公司进行安全业绩考核，督促落实安全生产主体责任；</w:t>
      </w:r>
    </w:p>
    <w:p>
      <w:pPr>
        <w:spacing w:before="156" w:after="156"/>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5）对生产经营过程中安全生产重大问题进行决策。</w:t>
      </w:r>
    </w:p>
    <w:p>
      <w:pPr>
        <w:pStyle w:val="4"/>
        <w:spacing w:before="156" w:after="156"/>
        <w:ind w:left="992" w:hanging="992"/>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公司安全生产领导小组根据需要每季度至少召开1次会议，分析安全生产运行状态，研究安全生产重要问题，决策重要事项。会议纪要下发子公司。</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kern w:val="2"/>
          <w:sz w:val="28"/>
          <w:szCs w:val="28"/>
          <w:lang w:val="en-US" w:eastAsia="zh-CN" w:bidi="ar-SA"/>
        </w:rPr>
        <w:t>公司设安全总监（安全副总）和安全</w:t>
      </w:r>
      <w:r>
        <w:rPr>
          <w:rFonts w:hint="eastAsia" w:ascii="方正仿宋_GBK" w:hAnsi="方正仿宋_GBK" w:eastAsia="方正仿宋_GBK" w:cs="方正仿宋_GBK"/>
          <w:b/>
          <w:bCs/>
          <w:color w:val="auto"/>
          <w:sz w:val="28"/>
          <w:szCs w:val="28"/>
        </w:rPr>
        <w:t>生产监督管理部门，按公司要求配备专职安全生产管理人员。公司安全生产监督管理部门履行如下主要职责：</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1）落实国家安全生产法律法规、标准、规范和</w:t>
      </w:r>
      <w:r>
        <w:rPr>
          <w:rFonts w:hint="eastAsia" w:ascii="方正仿宋_GBK" w:hAnsi="方正仿宋_GBK" w:eastAsia="方正仿宋_GBK" w:cs="方正仿宋_GBK"/>
          <w:b/>
          <w:bCs/>
          <w:color w:val="auto"/>
          <w:sz w:val="28"/>
          <w:szCs w:val="28"/>
          <w:lang w:eastAsia="zh-CN"/>
        </w:rPr>
        <w:t>地方</w:t>
      </w:r>
      <w:r>
        <w:rPr>
          <w:rFonts w:hint="eastAsia" w:ascii="方正仿宋_GBK" w:hAnsi="方正仿宋_GBK" w:eastAsia="方正仿宋_GBK" w:cs="方正仿宋_GBK"/>
          <w:b/>
          <w:bCs/>
          <w:color w:val="auto"/>
          <w:sz w:val="28"/>
          <w:szCs w:val="28"/>
        </w:rPr>
        <w:t>安全生产规章制度、文件；</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2）制定安全生产规章制度，并督促公司、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贯彻实施；</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3）制定安全生产教育培训计划并组织实施；</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4）对</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实施安全业绩考核，督促</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和主要负责人落实安全生产责任；</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5）检查安全生产状况，及时排查生产安全事故隐患，提出改进安全生产管理的建议；</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6）制定生产安全事故应急预案，并组织应急救援演练；</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7）组织A级一般及以上事故内部调查，落实责任追究。</w:t>
      </w:r>
    </w:p>
    <w:p>
      <w:pPr>
        <w:pStyle w:val="3"/>
        <w:spacing w:before="156" w:after="156"/>
        <w:rPr>
          <w:rFonts w:hint="eastAsia" w:ascii="方正楷体_GBK" w:hAnsi="方正楷体_GBK" w:eastAsia="方正楷体_GBK" w:cs="方正楷体_GBK"/>
          <w:b/>
          <w:bCs/>
          <w:color w:val="auto"/>
          <w:sz w:val="28"/>
          <w:szCs w:val="28"/>
        </w:rPr>
      </w:pPr>
      <w:bookmarkStart w:id="104" w:name="_Toc9035_WPSOffice_Level2"/>
      <w:bookmarkStart w:id="105" w:name="_Toc31254_WPSOffice_Level2"/>
      <w:r>
        <w:rPr>
          <w:rFonts w:hint="eastAsia" w:ascii="方正楷体_GBK" w:hAnsi="方正楷体_GBK" w:eastAsia="方正楷体_GBK" w:cs="方正楷体_GBK"/>
          <w:b/>
          <w:bCs/>
          <w:color w:val="auto"/>
          <w:sz w:val="28"/>
          <w:szCs w:val="28"/>
          <w:lang w:eastAsia="zh-CN"/>
        </w:rPr>
        <w:t>子公司</w:t>
      </w:r>
      <w:r>
        <w:rPr>
          <w:rFonts w:hint="eastAsia" w:ascii="方正楷体_GBK" w:hAnsi="方正楷体_GBK" w:eastAsia="方正楷体_GBK" w:cs="方正楷体_GBK"/>
          <w:b/>
          <w:bCs/>
          <w:color w:val="auto"/>
          <w:sz w:val="28"/>
          <w:szCs w:val="28"/>
        </w:rPr>
        <w:t>机构安全管理组织</w:t>
      </w:r>
      <w:bookmarkEnd w:id="104"/>
      <w:bookmarkEnd w:id="105"/>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应成立</w:t>
      </w:r>
      <w:r>
        <w:rPr>
          <w:rFonts w:hint="eastAsia" w:ascii="方正仿宋_GBK" w:hAnsi="方正仿宋_GBK" w:eastAsia="方正仿宋_GBK" w:cs="方正仿宋_GBK"/>
          <w:b/>
          <w:bCs/>
          <w:color w:val="auto"/>
          <w:sz w:val="28"/>
          <w:szCs w:val="28"/>
          <w:lang w:eastAsia="zh-CN"/>
        </w:rPr>
        <w:t>安全生产领导小组</w:t>
      </w:r>
      <w:r>
        <w:rPr>
          <w:rFonts w:hint="eastAsia" w:ascii="方正仿宋_GBK" w:hAnsi="方正仿宋_GBK" w:eastAsia="方正仿宋_GBK" w:cs="方正仿宋_GBK"/>
          <w:b/>
          <w:bCs/>
          <w:color w:val="auto"/>
          <w:sz w:val="28"/>
          <w:szCs w:val="28"/>
        </w:rPr>
        <w:t>，主要负责人任</w:t>
      </w:r>
      <w:r>
        <w:rPr>
          <w:rFonts w:hint="eastAsia" w:ascii="方正仿宋_GBK" w:hAnsi="方正仿宋_GBK" w:eastAsia="方正仿宋_GBK" w:cs="方正仿宋_GBK"/>
          <w:b/>
          <w:bCs/>
          <w:color w:val="auto"/>
          <w:sz w:val="28"/>
          <w:szCs w:val="28"/>
          <w:lang w:eastAsia="zh-CN"/>
        </w:rPr>
        <w:t>安全生产领导小组组长</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子公司安全生产领导小组</w:t>
      </w:r>
      <w:r>
        <w:rPr>
          <w:rFonts w:hint="eastAsia" w:ascii="方正仿宋_GBK" w:hAnsi="方正仿宋_GBK" w:eastAsia="方正仿宋_GBK" w:cs="方正仿宋_GBK"/>
          <w:b/>
          <w:bCs/>
          <w:color w:val="auto"/>
          <w:sz w:val="28"/>
          <w:szCs w:val="28"/>
        </w:rPr>
        <w:t>负责贯彻落实公司</w:t>
      </w:r>
      <w:r>
        <w:rPr>
          <w:rFonts w:hint="eastAsia" w:ascii="方正仿宋_GBK" w:hAnsi="方正仿宋_GBK" w:eastAsia="方正仿宋_GBK" w:cs="方正仿宋_GBK"/>
          <w:b/>
          <w:bCs/>
          <w:color w:val="auto"/>
          <w:sz w:val="28"/>
          <w:szCs w:val="28"/>
          <w:lang w:eastAsia="zh-CN"/>
        </w:rPr>
        <w:t>安全生产领导小组</w:t>
      </w:r>
      <w:r>
        <w:rPr>
          <w:rFonts w:hint="eastAsia" w:ascii="方正仿宋_GBK" w:hAnsi="方正仿宋_GBK" w:eastAsia="方正仿宋_GBK" w:cs="方正仿宋_GBK"/>
          <w:b/>
          <w:bCs/>
          <w:color w:val="auto"/>
          <w:sz w:val="28"/>
          <w:szCs w:val="28"/>
        </w:rPr>
        <w:t>重要决议、制定安全生产发展规划、决策安全生产重大问题。</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eastAsia="zh-CN"/>
        </w:rPr>
        <w:t>子公司安全生产领导小组</w:t>
      </w:r>
      <w:r>
        <w:rPr>
          <w:rFonts w:hint="eastAsia" w:ascii="方正仿宋_GBK" w:hAnsi="方正仿宋_GBK" w:eastAsia="方正仿宋_GBK" w:cs="方正仿宋_GBK"/>
          <w:b/>
          <w:bCs/>
          <w:color w:val="auto"/>
          <w:sz w:val="28"/>
          <w:szCs w:val="28"/>
        </w:rPr>
        <w:t>应每</w:t>
      </w:r>
      <w:r>
        <w:rPr>
          <w:rFonts w:hint="eastAsia" w:ascii="方正仿宋_GBK" w:hAnsi="方正仿宋_GBK" w:eastAsia="方正仿宋_GBK" w:cs="方正仿宋_GBK"/>
          <w:b/>
          <w:bCs/>
          <w:color w:val="auto"/>
          <w:sz w:val="28"/>
          <w:szCs w:val="28"/>
          <w:lang w:eastAsia="zh-CN"/>
        </w:rPr>
        <w:t>月</w:t>
      </w:r>
      <w:r>
        <w:rPr>
          <w:rFonts w:hint="eastAsia" w:ascii="方正仿宋_GBK" w:hAnsi="方正仿宋_GBK" w:eastAsia="方正仿宋_GBK" w:cs="方正仿宋_GBK"/>
          <w:b/>
          <w:bCs/>
          <w:color w:val="auto"/>
          <w:sz w:val="28"/>
          <w:szCs w:val="28"/>
        </w:rPr>
        <w:t>召开一次会议，分析安全生产运行状态，研究安全生产重要问题，决策重要事项。</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应按规定设置安全生产监督管理机构并配备安全生产管理人员：</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重点</w:t>
      </w:r>
      <w:r>
        <w:rPr>
          <w:rFonts w:hint="eastAsia" w:ascii="方正仿宋_GBK" w:hAnsi="方正仿宋_GBK" w:eastAsia="方正仿宋_GBK" w:cs="方正仿宋_GBK"/>
          <w:b/>
          <w:bCs/>
          <w:color w:val="auto"/>
          <w:sz w:val="28"/>
          <w:szCs w:val="28"/>
        </w:rPr>
        <w:t>企业：设安全总监（不低于经理助理级次）和独立安全生产监督管理部门；</w:t>
      </w:r>
    </w:p>
    <w:p>
      <w:pPr>
        <w:pStyle w:val="3"/>
        <w:spacing w:before="156" w:after="156"/>
        <w:rPr>
          <w:rFonts w:hint="eastAsia" w:ascii="方正楷体_GBK" w:hAnsi="方正楷体_GBK" w:eastAsia="方正楷体_GBK" w:cs="方正楷体_GBK"/>
          <w:b/>
          <w:bCs/>
          <w:color w:val="auto"/>
          <w:sz w:val="28"/>
          <w:szCs w:val="28"/>
        </w:rPr>
      </w:pPr>
      <w:bookmarkStart w:id="106" w:name="_Toc1124_WPSOffice_Level2"/>
      <w:bookmarkStart w:id="107" w:name="_Toc3312_WPSOffice_Level2"/>
      <w:r>
        <w:rPr>
          <w:rFonts w:hint="eastAsia" w:ascii="方正楷体_GBK" w:hAnsi="方正楷体_GBK" w:eastAsia="方正楷体_GBK" w:cs="方正楷体_GBK"/>
          <w:b/>
          <w:bCs/>
          <w:color w:val="auto"/>
          <w:sz w:val="28"/>
          <w:szCs w:val="28"/>
          <w:lang w:eastAsia="zh-CN"/>
        </w:rPr>
        <w:t>项目</w:t>
      </w:r>
      <w:r>
        <w:rPr>
          <w:rFonts w:hint="eastAsia" w:ascii="方正楷体_GBK" w:hAnsi="方正楷体_GBK" w:eastAsia="方正楷体_GBK" w:cs="方正楷体_GBK"/>
          <w:b/>
          <w:bCs/>
          <w:color w:val="auto"/>
          <w:sz w:val="28"/>
          <w:szCs w:val="28"/>
        </w:rPr>
        <w:t>安全管理组织</w:t>
      </w:r>
      <w:bookmarkEnd w:id="106"/>
      <w:bookmarkEnd w:id="107"/>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应成立安全生产领导小组，主要负责人任组长。安全生产领导小组是</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安全生产管理决策机构，每月召开一次会议，分析安全运行状态并制定改进措施，研究并决策重要事项。</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房建工程</w:t>
      </w:r>
      <w:r>
        <w:rPr>
          <w:rFonts w:hint="eastAsia" w:ascii="方正仿宋_GBK" w:hAnsi="方正仿宋_GBK" w:eastAsia="方正仿宋_GBK" w:cs="方正仿宋_GBK"/>
          <w:b/>
          <w:bCs/>
          <w:color w:val="auto"/>
          <w:sz w:val="28"/>
          <w:szCs w:val="28"/>
          <w:lang w:val="en-US" w:eastAsia="zh-CN"/>
        </w:rPr>
        <w:t>15</w:t>
      </w:r>
      <w:r>
        <w:rPr>
          <w:rFonts w:hint="eastAsia" w:ascii="方正仿宋_GBK" w:hAnsi="方正仿宋_GBK" w:eastAsia="方正仿宋_GBK" w:cs="方正仿宋_GBK"/>
          <w:b/>
          <w:bCs/>
          <w:color w:val="auto"/>
          <w:sz w:val="28"/>
          <w:szCs w:val="28"/>
        </w:rPr>
        <w:t>万㎡以上，装饰、机电安装、钢结构安装、幕墙和市政工程合同额1亿元人民币以上，路桥等基础设施工程合同额</w:t>
      </w:r>
      <w:r>
        <w:rPr>
          <w:rFonts w:hint="eastAsia" w:ascii="方正仿宋_GBK" w:hAnsi="方正仿宋_GBK" w:eastAsia="方正仿宋_GBK" w:cs="方正仿宋_GBK"/>
          <w:b/>
          <w:bCs/>
          <w:color w:val="auto"/>
          <w:sz w:val="28"/>
          <w:szCs w:val="28"/>
          <w:lang w:val="en-US" w:eastAsia="zh-CN"/>
        </w:rPr>
        <w:t>5</w:t>
      </w:r>
      <w:r>
        <w:rPr>
          <w:rFonts w:hint="eastAsia" w:ascii="方正仿宋_GBK" w:hAnsi="方正仿宋_GBK" w:eastAsia="方正仿宋_GBK" w:cs="方正仿宋_GBK"/>
          <w:b/>
          <w:bCs/>
          <w:color w:val="auto"/>
          <w:sz w:val="28"/>
          <w:szCs w:val="28"/>
        </w:rPr>
        <w:t>亿元人民币以上或省级以上重点工程，项目部设专职安全总监，专职安全总监按项目副经理级次定位。其他项目可设专/兼职安全总监。生产</w:t>
      </w:r>
      <w:r>
        <w:rPr>
          <w:rFonts w:hint="eastAsia" w:ascii="方正仿宋_GBK" w:hAnsi="方正仿宋_GBK" w:eastAsia="方正仿宋_GBK" w:cs="方正仿宋_GBK"/>
          <w:b/>
          <w:bCs/>
          <w:color w:val="auto"/>
          <w:sz w:val="28"/>
          <w:szCs w:val="28"/>
          <w:lang w:eastAsia="zh-CN"/>
        </w:rPr>
        <w:t>经营</w:t>
      </w:r>
      <w:r>
        <w:rPr>
          <w:rFonts w:hint="eastAsia" w:ascii="方正仿宋_GBK" w:hAnsi="方正仿宋_GBK" w:eastAsia="方正仿宋_GBK" w:cs="方正仿宋_GBK"/>
          <w:b/>
          <w:bCs/>
          <w:color w:val="auto"/>
          <w:sz w:val="28"/>
          <w:szCs w:val="28"/>
        </w:rPr>
        <w:t>单位应设专/兼职安全总监。</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应按规定设置安全生产监督管理部门并配备专职安全生产管理人员。安全生产监督管理部门和安全生产管理人员履行下列职责：</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1）组织或者参与拟订安全生产规章制度、操作规程和生产安全事故应急救援预案；</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2）组织或者参与安全生产教育和培训，如实记录安全生产教育和培训情况；</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3）督促落实重要危险源的安全管理措施；</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4）组织或者参与应急救援演练；</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5）检查安全生产状况，及时排查生产安全事故隐患，提出改进安全生产管理的建议；</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6）制止和纠正违章指挥、强令冒险作业、违反操作规程的行为；</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7）督促落实安全生产整改措施。</w:t>
      </w:r>
    </w:p>
    <w:p>
      <w:pPr>
        <w:pStyle w:val="3"/>
        <w:spacing w:before="156" w:after="156"/>
        <w:rPr>
          <w:rFonts w:hint="eastAsia" w:ascii="方正楷体_GBK" w:hAnsi="方正楷体_GBK" w:eastAsia="方正楷体_GBK" w:cs="方正楷体_GBK"/>
          <w:b/>
          <w:bCs/>
          <w:color w:val="auto"/>
          <w:sz w:val="28"/>
          <w:szCs w:val="28"/>
        </w:rPr>
      </w:pPr>
      <w:bookmarkStart w:id="108" w:name="_Toc26710_WPSOffice_Level2"/>
      <w:bookmarkStart w:id="109" w:name="_Toc30221_WPSOffice_Level2"/>
      <w:r>
        <w:rPr>
          <w:rFonts w:hint="eastAsia" w:ascii="方正楷体_GBK" w:hAnsi="方正楷体_GBK" w:eastAsia="方正楷体_GBK" w:cs="方正楷体_GBK"/>
          <w:b/>
          <w:bCs/>
          <w:color w:val="auto"/>
          <w:sz w:val="28"/>
          <w:szCs w:val="28"/>
        </w:rPr>
        <w:t>安全管理团队建设</w:t>
      </w:r>
      <w:bookmarkEnd w:id="108"/>
      <w:bookmarkEnd w:id="109"/>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应加强安全队伍建设，注重提高安全生产管理人员专业素质，拓宽发展通道，鼓励取得国家注册安全工程师资格。</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安全总监应具备工程师及以上专业技术职称，原则上具备国家注册安全工程师执业资格。</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为充分发挥安全专业人员的团队作用，公司建立安全内训师。安全内训师应钻研专业知识，了解专业发展动态，不断提升专业能力。公司</w:t>
      </w:r>
      <w:r>
        <w:rPr>
          <w:rFonts w:hint="eastAsia" w:ascii="方正仿宋_GBK" w:hAnsi="方正仿宋_GBK" w:eastAsia="方正仿宋_GBK" w:cs="方正仿宋_GBK"/>
          <w:b/>
          <w:bCs/>
          <w:color w:val="auto"/>
          <w:sz w:val="28"/>
          <w:szCs w:val="28"/>
          <w:lang w:val="en-US" w:eastAsia="zh-CN"/>
        </w:rPr>
        <w:t>应</w:t>
      </w:r>
      <w:r>
        <w:rPr>
          <w:rFonts w:hint="eastAsia" w:ascii="方正仿宋_GBK" w:hAnsi="方正仿宋_GBK" w:eastAsia="方正仿宋_GBK" w:cs="方正仿宋_GBK"/>
          <w:b/>
          <w:bCs/>
          <w:color w:val="auto"/>
          <w:sz w:val="28"/>
          <w:szCs w:val="28"/>
        </w:rPr>
        <w:t>组织安全专家参与安全培训、安全检查、事故调查、课题研讨等专题活动。</w:t>
      </w:r>
    </w:p>
    <w:p>
      <w:pPr>
        <w:pStyle w:val="2"/>
        <w:spacing w:before="156" w:after="156"/>
        <w:rPr>
          <w:rFonts w:hint="eastAsia" w:ascii="方正楷体_GBK" w:hAnsi="方正楷体_GBK" w:eastAsia="方正楷体_GBK" w:cs="方正楷体_GBK"/>
          <w:b/>
          <w:bCs/>
          <w:color w:val="auto"/>
          <w:sz w:val="28"/>
          <w:szCs w:val="28"/>
        </w:rPr>
      </w:pPr>
      <w:bookmarkStart w:id="110" w:name="_Toc5191_WPSOffice_Level1"/>
      <w:r>
        <w:rPr>
          <w:rFonts w:hint="eastAsia" w:ascii="方正黑体_GBK" w:hAnsi="方正黑体_GBK" w:eastAsia="方正黑体_GBK" w:cs="方正黑体_GBK"/>
          <w:b/>
          <w:bCs/>
          <w:color w:val="auto"/>
          <w:sz w:val="28"/>
          <w:szCs w:val="28"/>
        </w:rPr>
        <w:t>安全生产责任</w:t>
      </w:r>
      <w:bookmarkEnd w:id="110"/>
    </w:p>
    <w:p>
      <w:pPr>
        <w:pStyle w:val="3"/>
        <w:spacing w:before="156" w:after="156"/>
        <w:rPr>
          <w:rFonts w:hint="eastAsia" w:ascii="方正楷体_GBK" w:hAnsi="方正楷体_GBK" w:eastAsia="方正楷体_GBK" w:cs="方正楷体_GBK"/>
          <w:b/>
          <w:bCs/>
          <w:color w:val="auto"/>
          <w:sz w:val="28"/>
          <w:szCs w:val="28"/>
        </w:rPr>
      </w:pPr>
      <w:bookmarkStart w:id="111" w:name="_Toc26889_WPSOffice_Level2"/>
      <w:bookmarkStart w:id="112" w:name="_Toc25877_WPSOffice_Level2"/>
      <w:r>
        <w:rPr>
          <w:rFonts w:hint="eastAsia" w:ascii="方正楷体_GBK" w:hAnsi="方正楷体_GBK" w:eastAsia="方正楷体_GBK" w:cs="方正楷体_GBK"/>
          <w:b/>
          <w:bCs/>
          <w:color w:val="auto"/>
          <w:sz w:val="28"/>
          <w:szCs w:val="28"/>
        </w:rPr>
        <w:t>安全管理体系</w:t>
      </w:r>
      <w:bookmarkEnd w:id="111"/>
      <w:bookmarkEnd w:id="112"/>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公司安全生产实行分级管理，公司、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三级管理组织分级负责，形成纵向到底的安全管理责任体系。公司对全公司安全生产工作负监督、管理职责；</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是安全生产工作的责任主体，对本企业的安全生产负管理、组织职责；</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是安全生产工作的实施载体，负责落实企业安全生产规章制度，通过资源组织落实安全技术措施、管控风险、预防事故。</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安全总监和安全生产监督管理部门组织落实安全生产监督管理工作，对本单位安全生产工作负监督管理责任，形成纵向到底的安全监督体系。</w:t>
      </w:r>
    </w:p>
    <w:p>
      <w:pPr>
        <w:pStyle w:val="3"/>
        <w:spacing w:before="156" w:after="156"/>
        <w:rPr>
          <w:rFonts w:hint="eastAsia" w:ascii="方正楷体_GBK" w:hAnsi="方正楷体_GBK" w:eastAsia="方正楷体_GBK" w:cs="方正楷体_GBK"/>
          <w:b/>
          <w:bCs/>
          <w:color w:val="auto"/>
          <w:sz w:val="28"/>
          <w:szCs w:val="28"/>
        </w:rPr>
      </w:pPr>
      <w:bookmarkStart w:id="113" w:name="_Toc2845_WPSOffice_Level2"/>
      <w:bookmarkStart w:id="114" w:name="_Toc31285_WPSOffice_Level2"/>
      <w:r>
        <w:rPr>
          <w:rFonts w:hint="eastAsia" w:ascii="方正楷体_GBK" w:hAnsi="方正楷体_GBK" w:eastAsia="方正楷体_GBK" w:cs="方正楷体_GBK"/>
          <w:b/>
          <w:bCs/>
          <w:color w:val="auto"/>
          <w:sz w:val="28"/>
          <w:szCs w:val="28"/>
        </w:rPr>
        <w:t>安全生产责任制</w:t>
      </w:r>
      <w:bookmarkEnd w:id="113"/>
      <w:bookmarkEnd w:id="114"/>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应按照“党政同责、一岗双责、齐抓共管”的原则，建立以本单位主要负责人为核心、党组织统一领导、企业全面负责、职工积极参与的安全生产保障机制。</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主要负责人是本单位安全生产第一责任人，全面负责本单位安全生产工作。主要负责人履行业务工作职责的同时必须履行下列安全生产工作职责：</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1）建立、健全本单位安全生产责任制；</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2）组织制定本单位安全生产规章制度和操作规程；</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3）组织制定并实施本单位安全生产教育和培训计划；</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4）保证本单位安全生产投入的有效实施；</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5）督促、检查本单位的安全生产工作，及时消除生产安全事故隐患；</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6）组织制定并实施本单位的生产安全事故应急救援预案；</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7）及时、如实报告生产安全事故。</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分管生产副职领导为本单位安全生产分管领导，负责落实安全生产制度和安全生产措施，完善安全生产条件，对本单位安全生产负重要领导责任。</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技术负责人，负责组织制定安全生产技术管理制度，建立、完善生产安全技术保障体系，对本单位安全生产工作负技术领导责任。</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其他负责人按照分工负责主管范围内的安全生产工作，对主管业务范围内的安全生产工作负领导责任。</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的职能部门按照职能划分，对所负责工作范围的安全要素和管理流程负责。各岗位人员按照“三定”（定岗位、定人员、定安全责任）原则对本岗位的安全生产负责。</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党委（支部）对本单位安全生产工作负领导责任，应建立以党、团组织为主的思想政治保障责任制。</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应建立以工会为主的职业健康安全监督责任制和以安全生产监督管理部门为主的安全生产监督管理责任制。</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安全生产责任制应以书面方式予以明确，所有人员应熟知本岗位安全生产职责。公司、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安全生产责任制应根据法规要求和组织机构调整及时补充和修订。</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应建立安全生产责任制考核制度，主要负责人牵头，相关负责人、安全生产监督管理部门负责人及人力资源、党务、纪检监察等相关职能部门负责人组成安全生产责任制考核机构，定期考核并将考核结果计入部门绩效。</w:t>
      </w:r>
    </w:p>
    <w:p>
      <w:pPr>
        <w:pStyle w:val="2"/>
        <w:spacing w:before="156" w:after="156"/>
        <w:rPr>
          <w:rFonts w:hint="eastAsia" w:ascii="方正黑体_GBK" w:hAnsi="方正黑体_GBK" w:eastAsia="方正黑体_GBK" w:cs="方正黑体_GBK"/>
          <w:b/>
          <w:bCs/>
          <w:color w:val="auto"/>
          <w:sz w:val="28"/>
          <w:szCs w:val="28"/>
        </w:rPr>
      </w:pPr>
      <w:bookmarkStart w:id="115" w:name="_Toc344546980"/>
      <w:bookmarkStart w:id="116" w:name="_Toc20288_WPSOffice_Level1"/>
      <w:bookmarkStart w:id="117" w:name="_Toc365276312"/>
      <w:r>
        <w:rPr>
          <w:rFonts w:hint="eastAsia" w:ascii="方正黑体_GBK" w:hAnsi="方正黑体_GBK" w:eastAsia="方正黑体_GBK" w:cs="方正黑体_GBK"/>
          <w:b/>
          <w:bCs/>
          <w:color w:val="auto"/>
          <w:sz w:val="28"/>
          <w:szCs w:val="28"/>
        </w:rPr>
        <w:t>安全规划与目标管理</w:t>
      </w:r>
      <w:bookmarkEnd w:id="115"/>
      <w:bookmarkEnd w:id="116"/>
      <w:bookmarkEnd w:id="117"/>
    </w:p>
    <w:p>
      <w:pPr>
        <w:pStyle w:val="3"/>
        <w:spacing w:before="156" w:after="156"/>
        <w:rPr>
          <w:rFonts w:hint="eastAsia" w:ascii="方正楷体_GBK" w:hAnsi="方正楷体_GBK" w:eastAsia="方正楷体_GBK" w:cs="方正楷体_GBK"/>
          <w:b/>
          <w:bCs/>
          <w:color w:val="auto"/>
          <w:sz w:val="28"/>
          <w:szCs w:val="28"/>
        </w:rPr>
      </w:pPr>
      <w:bookmarkStart w:id="118" w:name="_Toc31482_WPSOffice_Level2"/>
      <w:bookmarkStart w:id="119" w:name="_Toc12328_WPSOffice_Level2"/>
      <w:r>
        <w:rPr>
          <w:rFonts w:hint="eastAsia" w:ascii="方正楷体_GBK" w:hAnsi="方正楷体_GBK" w:eastAsia="方正楷体_GBK" w:cs="方正楷体_GBK"/>
          <w:b/>
          <w:bCs/>
          <w:color w:val="auto"/>
          <w:sz w:val="28"/>
          <w:szCs w:val="28"/>
        </w:rPr>
        <w:t>安全发展规划</w:t>
      </w:r>
      <w:bookmarkEnd w:id="118"/>
      <w:bookmarkEnd w:id="119"/>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公司根据企业长期发展规划，将安全生产纳入企业治理体系和治理能力建设中，通过不断加大安全投入和安全文化建设等手段，建立安全生产管理持续改进的长效机制。</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依据公司安全生产规划，结合实际，制定本单位安全生产发展规划。</w:t>
      </w:r>
    </w:p>
    <w:p>
      <w:pPr>
        <w:pStyle w:val="3"/>
        <w:spacing w:before="156" w:after="156"/>
        <w:rPr>
          <w:rFonts w:hint="eastAsia" w:ascii="方正楷体_GBK" w:hAnsi="方正楷体_GBK" w:eastAsia="方正楷体_GBK" w:cs="方正楷体_GBK"/>
          <w:b/>
          <w:bCs/>
          <w:color w:val="auto"/>
          <w:sz w:val="28"/>
          <w:szCs w:val="28"/>
        </w:rPr>
      </w:pPr>
      <w:bookmarkStart w:id="120" w:name="_Toc10248_WPSOffice_Level2"/>
      <w:bookmarkStart w:id="121" w:name="_Toc5003_WPSOffice_Level2"/>
      <w:r>
        <w:rPr>
          <w:rFonts w:hint="eastAsia" w:ascii="方正楷体_GBK" w:hAnsi="方正楷体_GBK" w:eastAsia="方正楷体_GBK" w:cs="方正楷体_GBK"/>
          <w:b/>
          <w:bCs/>
          <w:color w:val="auto"/>
          <w:sz w:val="28"/>
          <w:szCs w:val="28"/>
        </w:rPr>
        <w:t>安全目标及分解</w:t>
      </w:r>
      <w:bookmarkEnd w:id="120"/>
      <w:bookmarkEnd w:id="121"/>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公司依据发展规划及，确定年度安全生产目标。年度安全生产目标包括管理绩效指标和业绩绩效指标，并体现持续改进。</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安全生产领导小组</w:t>
      </w:r>
      <w:r>
        <w:rPr>
          <w:rFonts w:hint="eastAsia" w:ascii="方正仿宋_GBK" w:hAnsi="方正仿宋_GBK" w:eastAsia="方正仿宋_GBK" w:cs="方正仿宋_GBK"/>
          <w:b/>
          <w:bCs/>
          <w:color w:val="auto"/>
          <w:sz w:val="28"/>
          <w:szCs w:val="28"/>
        </w:rPr>
        <w:t>每年初将年度安全生产目标分解到</w:t>
      </w:r>
      <w:r>
        <w:rPr>
          <w:rFonts w:hint="eastAsia" w:ascii="方正仿宋_GBK" w:hAnsi="方正仿宋_GBK" w:eastAsia="方正仿宋_GBK" w:cs="方正仿宋_GBK"/>
          <w:b/>
          <w:bCs/>
          <w:color w:val="auto"/>
          <w:sz w:val="28"/>
          <w:szCs w:val="28"/>
          <w:lang w:val="en-US" w:eastAsia="zh-CN"/>
        </w:rPr>
        <w:t>各部门、</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并与</w:t>
      </w:r>
      <w:r>
        <w:rPr>
          <w:rFonts w:hint="eastAsia" w:ascii="方正仿宋_GBK" w:hAnsi="方正仿宋_GBK" w:eastAsia="方正仿宋_GBK" w:cs="方正仿宋_GBK"/>
          <w:b/>
          <w:bCs/>
          <w:color w:val="auto"/>
          <w:sz w:val="28"/>
          <w:szCs w:val="28"/>
          <w:lang w:val="en-US" w:eastAsia="zh-CN"/>
        </w:rPr>
        <w:t>各部门、</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签订年度《安全生产目标责任书》。</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依据公司下达的年度安全生产目标和本单位发展规划，确定本单位年度安全生产目标。</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应将年度安全生产目标指标分解到下属</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，并与其签订年度《安全生产目标责任书》。</w:t>
      </w:r>
    </w:p>
    <w:p>
      <w:pPr>
        <w:pStyle w:val="3"/>
        <w:spacing w:before="156" w:after="156"/>
        <w:rPr>
          <w:rFonts w:hint="eastAsia" w:ascii="方正楷体_GBK" w:hAnsi="方正楷体_GBK" w:eastAsia="方正楷体_GBK" w:cs="方正楷体_GBK"/>
          <w:b/>
          <w:bCs/>
          <w:color w:val="auto"/>
          <w:sz w:val="28"/>
          <w:szCs w:val="28"/>
        </w:rPr>
      </w:pPr>
      <w:bookmarkStart w:id="122" w:name="_Toc4623_WPSOffice_Level2"/>
      <w:bookmarkStart w:id="123" w:name="_Toc17968_WPSOffice_Level2"/>
      <w:r>
        <w:rPr>
          <w:rFonts w:hint="eastAsia" w:ascii="方正楷体_GBK" w:hAnsi="方正楷体_GBK" w:eastAsia="方正楷体_GBK" w:cs="方正楷体_GBK"/>
          <w:b/>
          <w:bCs/>
          <w:color w:val="auto"/>
          <w:sz w:val="28"/>
          <w:szCs w:val="28"/>
        </w:rPr>
        <w:t>安全目标实施策划</w:t>
      </w:r>
      <w:bookmarkEnd w:id="122"/>
      <w:bookmarkEnd w:id="123"/>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公司安全生产监督管理部门依据年度安全生产目标和安全生产运行状况，编制年度安全生产工作要点，指引全年安全生产管理工作。</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根据年度安全生产目标和公司安全生产工作要点，结合本企业实际情况，编制年度安全生产工作要点，指引本企业年度安全生产管理工作。</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进行项目策划时同时进行安全策划，安全策划由企业安全生产监督管理部门组织，工程、技术、质量、</w:t>
      </w:r>
      <w:r>
        <w:rPr>
          <w:rFonts w:hint="eastAsia" w:ascii="方正仿宋_GBK" w:hAnsi="方正仿宋_GBK" w:eastAsia="方正仿宋_GBK" w:cs="方正仿宋_GBK"/>
          <w:b/>
          <w:bCs/>
          <w:color w:val="auto"/>
          <w:sz w:val="28"/>
          <w:szCs w:val="28"/>
          <w:lang w:eastAsia="zh-CN"/>
        </w:rPr>
        <w:t>商务</w:t>
      </w:r>
      <w:r>
        <w:rPr>
          <w:rFonts w:hint="eastAsia" w:ascii="方正仿宋_GBK" w:hAnsi="方正仿宋_GBK" w:eastAsia="方正仿宋_GBK" w:cs="方正仿宋_GBK"/>
          <w:b/>
          <w:bCs/>
          <w:color w:val="auto"/>
          <w:sz w:val="28"/>
          <w:szCs w:val="28"/>
        </w:rPr>
        <w:t>、人力资源等相关部门参与。</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项目部根据公司策划成果编制“项目安全生产策划书”。策划书应包括安全管理目标、安全管理组织及职责、安全管理制度、危险源识别及风险控制措施、安全生产费用投入计划、创优策划、资源配置等内容，用于指导</w:t>
      </w:r>
      <w:r>
        <w:rPr>
          <w:rFonts w:hint="eastAsia" w:ascii="方正仿宋_GBK" w:hAnsi="方正仿宋_GBK" w:eastAsia="方正仿宋_GBK" w:cs="方正仿宋_GBK"/>
          <w:b/>
          <w:bCs/>
          <w:color w:val="auto"/>
          <w:sz w:val="28"/>
          <w:szCs w:val="28"/>
          <w:lang w:val="en-US" w:eastAsia="zh-CN"/>
        </w:rPr>
        <w:t>生产</w:t>
      </w:r>
      <w:r>
        <w:rPr>
          <w:rFonts w:hint="eastAsia" w:ascii="方正仿宋_GBK" w:hAnsi="方正仿宋_GBK" w:eastAsia="方正仿宋_GBK" w:cs="方正仿宋_GBK"/>
          <w:b/>
          <w:bCs/>
          <w:color w:val="auto"/>
          <w:sz w:val="28"/>
          <w:szCs w:val="28"/>
        </w:rPr>
        <w:t>全过程的安全管理。</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项目安全生产策划书通过</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相关部门评审后，经</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分管生产副职领导审批后实施。</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安全创优目标等级为</w:t>
      </w:r>
      <w:r>
        <w:rPr>
          <w:rFonts w:hint="eastAsia" w:ascii="方正仿宋_GBK" w:hAnsi="方正仿宋_GBK" w:eastAsia="方正仿宋_GBK" w:cs="方正仿宋_GBK"/>
          <w:b/>
          <w:bCs/>
          <w:color w:val="auto"/>
          <w:sz w:val="28"/>
          <w:szCs w:val="28"/>
          <w:lang w:eastAsia="zh-CN"/>
        </w:rPr>
        <w:t>地方</w:t>
      </w:r>
      <w:r>
        <w:rPr>
          <w:rFonts w:hint="eastAsia" w:ascii="方正仿宋_GBK" w:hAnsi="方正仿宋_GBK" w:eastAsia="方正仿宋_GBK" w:cs="方正仿宋_GBK"/>
          <w:b/>
          <w:bCs/>
          <w:color w:val="auto"/>
          <w:sz w:val="28"/>
          <w:szCs w:val="28"/>
        </w:rPr>
        <w:t>观摩及以上的，项目安全生产策划书通过</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评审后报公司</w:t>
      </w:r>
      <w:r>
        <w:rPr>
          <w:rFonts w:hint="eastAsia" w:ascii="方正仿宋_GBK" w:hAnsi="方正仿宋_GBK" w:eastAsia="方正仿宋_GBK" w:cs="方正仿宋_GBK"/>
          <w:b/>
          <w:bCs/>
          <w:color w:val="auto"/>
          <w:sz w:val="28"/>
          <w:szCs w:val="28"/>
          <w:lang w:val="en-US" w:eastAsia="zh-CN"/>
        </w:rPr>
        <w:t>安委会</w:t>
      </w:r>
      <w:r>
        <w:rPr>
          <w:rFonts w:hint="eastAsia" w:ascii="方正仿宋_GBK" w:hAnsi="方正仿宋_GBK" w:eastAsia="方正仿宋_GBK" w:cs="方正仿宋_GBK"/>
          <w:b/>
          <w:bCs/>
          <w:color w:val="auto"/>
          <w:sz w:val="28"/>
          <w:szCs w:val="28"/>
        </w:rPr>
        <w:t>评审，经</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分管生产副职领导审批后实施。</w:t>
      </w:r>
    </w:p>
    <w:p>
      <w:pPr>
        <w:pStyle w:val="3"/>
        <w:spacing w:before="156" w:after="156"/>
        <w:rPr>
          <w:rFonts w:hint="eastAsia" w:ascii="方正楷体_GBK" w:hAnsi="方正楷体_GBK" w:eastAsia="方正楷体_GBK" w:cs="方正楷体_GBK"/>
          <w:b/>
          <w:bCs/>
          <w:color w:val="auto"/>
          <w:sz w:val="28"/>
          <w:szCs w:val="28"/>
        </w:rPr>
      </w:pPr>
      <w:bookmarkStart w:id="124" w:name="_Toc31694_WPSOffice_Level2"/>
      <w:bookmarkStart w:id="125" w:name="_Toc8591_WPSOffice_Level2"/>
      <w:r>
        <w:rPr>
          <w:rFonts w:hint="eastAsia" w:ascii="方正楷体_GBK" w:hAnsi="方正楷体_GBK" w:eastAsia="方正楷体_GBK" w:cs="方正楷体_GBK"/>
          <w:b/>
          <w:bCs/>
          <w:color w:val="auto"/>
          <w:sz w:val="28"/>
          <w:szCs w:val="28"/>
        </w:rPr>
        <w:t>安全目标考核</w:t>
      </w:r>
      <w:bookmarkEnd w:id="124"/>
      <w:bookmarkEnd w:id="125"/>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安全目标实行年度分级考核。公司每年初对</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上年度安全目标进行考核，依据年度《安全生产目标</w:t>
      </w:r>
      <w:r>
        <w:rPr>
          <w:rFonts w:hint="eastAsia" w:ascii="方正仿宋_GBK" w:hAnsi="方正仿宋_GBK" w:eastAsia="方正仿宋_GBK" w:cs="方正仿宋_GBK"/>
          <w:b/>
          <w:bCs/>
          <w:color w:val="auto"/>
          <w:sz w:val="28"/>
          <w:szCs w:val="28"/>
          <w:lang w:eastAsia="zh-CN"/>
        </w:rPr>
        <w:t>考核及奖惩办法》</w:t>
      </w:r>
      <w:r>
        <w:rPr>
          <w:rFonts w:hint="eastAsia" w:ascii="方正仿宋_GBK" w:hAnsi="方正仿宋_GBK" w:eastAsia="方正仿宋_GBK" w:cs="方正仿宋_GBK"/>
          <w:b/>
          <w:bCs/>
          <w:color w:val="auto"/>
          <w:sz w:val="28"/>
          <w:szCs w:val="28"/>
        </w:rPr>
        <w:t>规定兑现奖惩。</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负责对其下属</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进行年度安全目标考核，依据</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规定兑现奖惩。</w:t>
      </w:r>
    </w:p>
    <w:p>
      <w:pPr>
        <w:pStyle w:val="2"/>
        <w:spacing w:before="156" w:after="156"/>
        <w:rPr>
          <w:rFonts w:hint="eastAsia" w:ascii="方正黑体_GBK" w:hAnsi="方正黑体_GBK" w:eastAsia="方正黑体_GBK" w:cs="方正黑体_GBK"/>
          <w:b/>
          <w:bCs/>
          <w:color w:val="auto"/>
          <w:sz w:val="28"/>
          <w:szCs w:val="28"/>
        </w:rPr>
      </w:pPr>
      <w:bookmarkStart w:id="126" w:name="_Toc19064_WPSOffice_Level1"/>
      <w:r>
        <w:rPr>
          <w:rFonts w:hint="eastAsia" w:ascii="方正黑体_GBK" w:hAnsi="方正黑体_GBK" w:eastAsia="方正黑体_GBK" w:cs="方正黑体_GBK"/>
          <w:b/>
          <w:bCs/>
          <w:color w:val="auto"/>
          <w:sz w:val="28"/>
          <w:szCs w:val="28"/>
        </w:rPr>
        <w:t>安全生产费用管理</w:t>
      </w:r>
      <w:bookmarkEnd w:id="82"/>
      <w:bookmarkEnd w:id="126"/>
    </w:p>
    <w:p>
      <w:pPr>
        <w:pStyle w:val="3"/>
        <w:spacing w:before="156" w:after="156"/>
        <w:rPr>
          <w:rFonts w:hint="eastAsia" w:ascii="方正楷体_GBK" w:hAnsi="方正楷体_GBK" w:eastAsia="方正楷体_GBK" w:cs="方正楷体_GBK"/>
          <w:b/>
          <w:bCs/>
          <w:color w:val="auto"/>
          <w:sz w:val="28"/>
          <w:szCs w:val="28"/>
        </w:rPr>
      </w:pPr>
      <w:bookmarkStart w:id="127" w:name="_Toc22620_WPSOffice_Level2"/>
      <w:bookmarkStart w:id="128" w:name="_Toc5342_WPSOffice_Level2"/>
      <w:r>
        <w:rPr>
          <w:rFonts w:hint="eastAsia" w:ascii="方正楷体_GBK" w:hAnsi="方正楷体_GBK" w:eastAsia="方正楷体_GBK" w:cs="方正楷体_GBK"/>
          <w:b/>
          <w:bCs/>
          <w:color w:val="auto"/>
          <w:sz w:val="28"/>
          <w:szCs w:val="28"/>
        </w:rPr>
        <w:t>安全生产费用提取</w:t>
      </w:r>
      <w:bookmarkEnd w:id="127"/>
      <w:bookmarkEnd w:id="128"/>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安全生产费用是指企业按照规定标准提取在成本中列支，专门用于完善和改进企业或者</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安全生产条件的资金。</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应按国家有关法规和文件规定提取安全生产费用，按照确保需要、规范使用的原则进行管理。</w:t>
      </w:r>
    </w:p>
    <w:p>
      <w:pPr>
        <w:pStyle w:val="4"/>
        <w:spacing w:before="156" w:after="156"/>
        <w:ind w:left="992" w:hanging="992"/>
        <w:rPr>
          <w:rFonts w:hint="default"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安全生产费用提取、管理和使用按照公司《安全生产费用提取、管理和使用制度》执行。</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应将安全生产费用纳入年度资金预算管理，专户核算，专款专用，不得挤占、挪用。</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安全生产费用投入必须以满足安全生产需要为原则，当年计提安全生产费用不足的，超出部分按正常成本费用渠道列支。</w:t>
      </w:r>
    </w:p>
    <w:p>
      <w:pPr>
        <w:pStyle w:val="3"/>
        <w:spacing w:before="156" w:after="156"/>
        <w:rPr>
          <w:rFonts w:hint="eastAsia" w:ascii="方正楷体_GBK" w:hAnsi="方正楷体_GBK" w:eastAsia="方正楷体_GBK" w:cs="方正楷体_GBK"/>
          <w:b/>
          <w:bCs/>
          <w:color w:val="auto"/>
          <w:sz w:val="28"/>
          <w:szCs w:val="28"/>
        </w:rPr>
      </w:pPr>
      <w:bookmarkStart w:id="129" w:name="_Toc29750_WPSOffice_Level2"/>
      <w:bookmarkStart w:id="130" w:name="_Toc23019_WPSOffice_Level2"/>
      <w:r>
        <w:rPr>
          <w:rFonts w:hint="eastAsia" w:ascii="方正楷体_GBK" w:hAnsi="方正楷体_GBK" w:eastAsia="方正楷体_GBK" w:cs="方正楷体_GBK"/>
          <w:b/>
          <w:bCs/>
          <w:color w:val="auto"/>
          <w:sz w:val="28"/>
          <w:szCs w:val="28"/>
        </w:rPr>
        <w:t>安全生产费用使用</w:t>
      </w:r>
      <w:bookmarkEnd w:id="129"/>
      <w:bookmarkEnd w:id="130"/>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应按照企业提取的安全生产费用编制使用计划。安全生产费用使用计划经</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主要负责人审批后实施。</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安全生产费用使用范围如下：</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1）完善、改造和维护安全防护设施设备支出（不含“三同时”要求初期投入的安全设施），包括施工现场临时用电系统、洞口、临边、机械设备、高处作业防护、交叉作业防护、防火、防爆、防尘、防毒、防雷、防台风、防地质灾害、地下工程有害气体监测、通风、临时安全防护等设施设备支出；</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2）配备、维护、保养应急救援器材、设备支出和应急演练支出；</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3）开展重大危险源和事故隐患评估、监控和整改支出；</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4）安全生产检查、评价（不包括新建、改建、扩建项目安全评价）、咨询和标准化建设支出；</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5）配备和更新现场作业人员安全防护用品支出；</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6）安全生产宣传、教育、培训支出；</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7）安全生产适用的新技术、新标准、新工艺、新装备的推广应用支出；</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8）安全设施及特种设备检测检验支出；</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9）其他与安全生产直接相关的支出。</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须按规定范围使用安全生产费用，优先用于满足行业主管部门、安全生产监督管理部门对安全生产提出的整改措施或者达到安全生产标准所需的支出。</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对于分包单位，应在分包合同中将安全生产费用单列，按照分包合同安全责任划分对分包单位实行安全生产费用考核支付，督促检查分包单位落实安全责任。</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安全生产检查、评价时，应检查安全生产费用的投入、使用和管理情况。</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对所属企业提取的安全生产费用按一定比例集中管理，统筹使用。</w:t>
      </w:r>
    </w:p>
    <w:p>
      <w:pPr>
        <w:pStyle w:val="3"/>
        <w:spacing w:before="156" w:after="156"/>
        <w:rPr>
          <w:rFonts w:hint="eastAsia" w:ascii="方正楷体_GBK" w:hAnsi="方正楷体_GBK" w:eastAsia="方正楷体_GBK" w:cs="方正楷体_GBK"/>
          <w:b/>
          <w:bCs/>
          <w:color w:val="auto"/>
          <w:sz w:val="28"/>
          <w:szCs w:val="28"/>
        </w:rPr>
      </w:pPr>
      <w:bookmarkStart w:id="131" w:name="_Toc8522_WPSOffice_Level2"/>
      <w:bookmarkStart w:id="132" w:name="_Toc3649_WPSOffice_Level2"/>
      <w:r>
        <w:rPr>
          <w:rFonts w:hint="eastAsia" w:ascii="方正楷体_GBK" w:hAnsi="方正楷体_GBK" w:eastAsia="方正楷体_GBK" w:cs="方正楷体_GBK"/>
          <w:b/>
          <w:bCs/>
          <w:color w:val="auto"/>
          <w:sz w:val="28"/>
          <w:szCs w:val="28"/>
        </w:rPr>
        <w:t>安全生产费用统计</w:t>
      </w:r>
      <w:bookmarkEnd w:id="131"/>
      <w:bookmarkEnd w:id="132"/>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按照安全生产费用使用范围进行安全生产相关活动时，经办人负责在原始单据上注明用于安全生产，财务部门负责核算处理，计入本单位安全生产费用，同时建立安全生产费用备查台账，并按月统计上报。</w:t>
      </w:r>
    </w:p>
    <w:p>
      <w:pPr>
        <w:pStyle w:val="2"/>
        <w:spacing w:before="156" w:after="156"/>
        <w:rPr>
          <w:rFonts w:hint="eastAsia" w:ascii="方正黑体_GBK" w:hAnsi="方正黑体_GBK" w:eastAsia="方正黑体_GBK" w:cs="方正黑体_GBK"/>
          <w:b/>
          <w:bCs/>
          <w:color w:val="auto"/>
          <w:sz w:val="28"/>
          <w:szCs w:val="28"/>
        </w:rPr>
      </w:pPr>
      <w:bookmarkStart w:id="133" w:name="_Toc2263_WPSOffice_Level1"/>
      <w:r>
        <w:rPr>
          <w:rFonts w:hint="eastAsia" w:ascii="方正黑体_GBK" w:hAnsi="方正黑体_GBK" w:eastAsia="方正黑体_GBK" w:cs="方正黑体_GBK"/>
          <w:b/>
          <w:bCs/>
          <w:color w:val="auto"/>
          <w:sz w:val="28"/>
          <w:szCs w:val="28"/>
        </w:rPr>
        <w:t>危险源管理</w:t>
      </w:r>
      <w:bookmarkEnd w:id="133"/>
    </w:p>
    <w:p>
      <w:pPr>
        <w:pStyle w:val="3"/>
        <w:spacing w:before="156" w:after="156"/>
        <w:rPr>
          <w:rFonts w:hint="eastAsia" w:ascii="方正楷体_GBK" w:hAnsi="方正楷体_GBK" w:eastAsia="方正楷体_GBK" w:cs="方正楷体_GBK"/>
          <w:b/>
          <w:bCs/>
          <w:color w:val="auto"/>
          <w:sz w:val="28"/>
          <w:szCs w:val="28"/>
        </w:rPr>
      </w:pPr>
      <w:bookmarkStart w:id="134" w:name="_Toc12508_WPSOffice_Level2"/>
      <w:bookmarkStart w:id="135" w:name="_Toc27963_WPSOffice_Level2"/>
      <w:r>
        <w:rPr>
          <w:rFonts w:hint="eastAsia" w:ascii="方正楷体_GBK" w:hAnsi="方正楷体_GBK" w:eastAsia="方正楷体_GBK" w:cs="方正楷体_GBK"/>
          <w:b/>
          <w:bCs/>
          <w:color w:val="auto"/>
          <w:sz w:val="28"/>
          <w:szCs w:val="28"/>
        </w:rPr>
        <w:t>危险源分级</w:t>
      </w:r>
      <w:bookmarkEnd w:id="134"/>
      <w:bookmarkEnd w:id="135"/>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安全管理必须以风险为指引，并重点管控重要危险源。重要危险源主要包括如下危险性较大分部分项工程和爆破、吊装作业、有限空间作业、地下暗挖作业、悬吊作业、临近高压线作业、露天矿山采掘施工作业等危险作业：</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1）《危险性较大的分部分项工程安全管理办法》（建质〔2009〕87 号）所列危险性较大的分部分项工程；</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2）大型起重机械设备使用；</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3）动火作业；</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4）有限空间作业；</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5）生产生活临建（消防，防台，卫生防疫，防暑降温，冬季供暖等）；</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6）高层建筑消防；</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7）采用新技术、新工艺、新材料、新设备及尚无相关安全技术标准分项工程；</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8）其他高风险作业。</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为充分利用资源，有效控制风险，对重要危险源实行分级管理，把重要危险源划分为</w:t>
      </w:r>
      <w:r>
        <w:rPr>
          <w:rFonts w:hint="eastAsia" w:ascii="方正仿宋_GBK" w:hAnsi="方正仿宋_GBK" w:eastAsia="方正仿宋_GBK" w:cs="方正仿宋_GBK"/>
          <w:b/>
          <w:bCs/>
          <w:color w:val="auto"/>
          <w:sz w:val="28"/>
          <w:szCs w:val="28"/>
          <w:lang w:eastAsia="zh-CN"/>
        </w:rPr>
        <w:t>地方</w:t>
      </w:r>
      <w:r>
        <w:rPr>
          <w:rFonts w:hint="eastAsia" w:ascii="方正仿宋_GBK" w:hAnsi="方正仿宋_GBK" w:eastAsia="方正仿宋_GBK" w:cs="方正仿宋_GBK"/>
          <w:b/>
          <w:bCs/>
          <w:color w:val="auto"/>
          <w:sz w:val="28"/>
          <w:szCs w:val="28"/>
        </w:rPr>
        <w:t>级重要危险源、公司级重要危险源和项目级重要危险源。</w:t>
      </w:r>
    </w:p>
    <w:p>
      <w:pPr>
        <w:pStyle w:val="3"/>
        <w:spacing w:before="156" w:after="156"/>
        <w:rPr>
          <w:rFonts w:hint="eastAsia" w:ascii="方正楷体_GBK" w:hAnsi="方正楷体_GBK" w:eastAsia="方正楷体_GBK" w:cs="方正楷体_GBK"/>
          <w:b/>
          <w:bCs/>
          <w:color w:val="auto"/>
          <w:sz w:val="28"/>
          <w:szCs w:val="28"/>
        </w:rPr>
      </w:pPr>
      <w:bookmarkStart w:id="136" w:name="_Toc20658_WPSOffice_Level2"/>
      <w:bookmarkStart w:id="137" w:name="_Toc27657_WPSOffice_Level2"/>
      <w:r>
        <w:rPr>
          <w:rFonts w:hint="eastAsia" w:ascii="方正楷体_GBK" w:hAnsi="方正楷体_GBK" w:eastAsia="方正楷体_GBK" w:cs="方正楷体_GBK"/>
          <w:b/>
          <w:bCs/>
          <w:color w:val="auto"/>
          <w:sz w:val="28"/>
          <w:szCs w:val="28"/>
        </w:rPr>
        <w:t>危险源辨识</w:t>
      </w:r>
      <w:bookmarkEnd w:id="136"/>
      <w:bookmarkEnd w:id="137"/>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对项目进行安全策划时，辨识重要危险源，形成项目重要危险源清单。</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施工过程中，项目安全生产监督管理部门根据月度生产计划，每月进行重要危险源辨识，形成项目月度重要危险源清单（项目级、公司级和</w:t>
      </w:r>
      <w:r>
        <w:rPr>
          <w:rFonts w:hint="eastAsia" w:ascii="方正仿宋_GBK" w:hAnsi="方正仿宋_GBK" w:eastAsia="方正仿宋_GBK" w:cs="方正仿宋_GBK"/>
          <w:b/>
          <w:bCs/>
          <w:color w:val="auto"/>
          <w:sz w:val="28"/>
          <w:szCs w:val="28"/>
          <w:lang w:eastAsia="zh-CN"/>
        </w:rPr>
        <w:t>地方</w:t>
      </w:r>
      <w:r>
        <w:rPr>
          <w:rFonts w:hint="eastAsia" w:ascii="方正仿宋_GBK" w:hAnsi="方正仿宋_GBK" w:eastAsia="方正仿宋_GBK" w:cs="方正仿宋_GBK"/>
          <w:b/>
          <w:bCs/>
          <w:color w:val="auto"/>
          <w:sz w:val="28"/>
          <w:szCs w:val="28"/>
        </w:rPr>
        <w:t>级），并上报</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安全生产监督管理部门。</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安全生产监督管理部门每月汇总下属项目重要危险源清单形成公司月度重要危险源清单（</w:t>
      </w:r>
      <w:r>
        <w:rPr>
          <w:rFonts w:hint="eastAsia" w:ascii="方正仿宋_GBK" w:hAnsi="方正仿宋_GBK" w:eastAsia="方正仿宋_GBK" w:cs="方正仿宋_GBK"/>
          <w:b/>
          <w:bCs/>
          <w:color w:val="auto"/>
          <w:sz w:val="28"/>
          <w:szCs w:val="28"/>
          <w:lang w:val="en-US" w:eastAsia="zh-CN"/>
        </w:rPr>
        <w:t>项目</w:t>
      </w:r>
      <w:r>
        <w:rPr>
          <w:rFonts w:hint="eastAsia" w:ascii="方正仿宋_GBK" w:hAnsi="方正仿宋_GBK" w:eastAsia="方正仿宋_GBK" w:cs="方正仿宋_GBK"/>
          <w:b/>
          <w:bCs/>
          <w:color w:val="auto"/>
          <w:sz w:val="28"/>
          <w:szCs w:val="28"/>
        </w:rPr>
        <w:t>级和</w:t>
      </w:r>
      <w:r>
        <w:rPr>
          <w:rFonts w:hint="eastAsia" w:ascii="方正仿宋_GBK" w:hAnsi="方正仿宋_GBK" w:eastAsia="方正仿宋_GBK" w:cs="方正仿宋_GBK"/>
          <w:b/>
          <w:bCs/>
          <w:color w:val="auto"/>
          <w:sz w:val="28"/>
          <w:szCs w:val="28"/>
          <w:lang w:val="en-US" w:eastAsia="zh-CN"/>
        </w:rPr>
        <w:t>公司</w:t>
      </w:r>
      <w:r>
        <w:rPr>
          <w:rFonts w:hint="eastAsia" w:ascii="方正仿宋_GBK" w:hAnsi="方正仿宋_GBK" w:eastAsia="方正仿宋_GBK" w:cs="方正仿宋_GBK"/>
          <w:b/>
          <w:bCs/>
          <w:color w:val="auto"/>
          <w:sz w:val="28"/>
          <w:szCs w:val="28"/>
        </w:rPr>
        <w:t>级），并上报公司安全生产监督管理部门。</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公司安全生产监督管理部门每月汇总</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月度重要危险源清单，形成公司月度重要危险源清单（</w:t>
      </w:r>
      <w:r>
        <w:rPr>
          <w:rFonts w:hint="eastAsia" w:ascii="方正仿宋_GBK" w:hAnsi="方正仿宋_GBK" w:eastAsia="方正仿宋_GBK" w:cs="方正仿宋_GBK"/>
          <w:b/>
          <w:bCs/>
          <w:color w:val="auto"/>
          <w:sz w:val="28"/>
          <w:szCs w:val="28"/>
          <w:lang w:eastAsia="zh-CN"/>
        </w:rPr>
        <w:t>地方</w:t>
      </w:r>
      <w:r>
        <w:rPr>
          <w:rFonts w:hint="eastAsia" w:ascii="方正仿宋_GBK" w:hAnsi="方正仿宋_GBK" w:eastAsia="方正仿宋_GBK" w:cs="方正仿宋_GBK"/>
          <w:b/>
          <w:bCs/>
          <w:color w:val="auto"/>
          <w:sz w:val="28"/>
          <w:szCs w:val="28"/>
        </w:rPr>
        <w:t>级），并上报</w:t>
      </w:r>
      <w:r>
        <w:rPr>
          <w:rFonts w:hint="eastAsia" w:ascii="方正仿宋_GBK" w:hAnsi="方正仿宋_GBK" w:eastAsia="方正仿宋_GBK" w:cs="方正仿宋_GBK"/>
          <w:b/>
          <w:bCs/>
          <w:color w:val="auto"/>
          <w:sz w:val="28"/>
          <w:szCs w:val="28"/>
          <w:lang w:eastAsia="zh-CN"/>
        </w:rPr>
        <w:t>地方</w:t>
      </w:r>
      <w:r>
        <w:rPr>
          <w:rFonts w:hint="eastAsia" w:ascii="方正仿宋_GBK" w:hAnsi="方正仿宋_GBK" w:eastAsia="方正仿宋_GBK" w:cs="方正仿宋_GBK"/>
          <w:b/>
          <w:bCs/>
          <w:color w:val="auto"/>
          <w:sz w:val="28"/>
          <w:szCs w:val="28"/>
        </w:rPr>
        <w:t>安全生产监督管理部门。</w:t>
      </w:r>
    </w:p>
    <w:p>
      <w:pPr>
        <w:pStyle w:val="3"/>
        <w:spacing w:before="156" w:after="156"/>
        <w:rPr>
          <w:rFonts w:hint="eastAsia" w:ascii="方正楷体_GBK" w:hAnsi="方正楷体_GBK" w:eastAsia="方正楷体_GBK" w:cs="方正楷体_GBK"/>
          <w:b/>
          <w:bCs/>
          <w:color w:val="auto"/>
          <w:sz w:val="28"/>
          <w:szCs w:val="28"/>
        </w:rPr>
      </w:pPr>
      <w:bookmarkStart w:id="138" w:name="_Toc12792_WPSOffice_Level2"/>
      <w:bookmarkStart w:id="139" w:name="_Toc2078_WPSOffice_Level2"/>
      <w:r>
        <w:rPr>
          <w:rFonts w:hint="eastAsia" w:ascii="方正楷体_GBK" w:hAnsi="方正楷体_GBK" w:eastAsia="方正楷体_GBK" w:cs="方正楷体_GBK"/>
          <w:b/>
          <w:bCs/>
          <w:color w:val="auto"/>
          <w:sz w:val="28"/>
          <w:szCs w:val="28"/>
        </w:rPr>
        <w:t>危险源管控</w:t>
      </w:r>
      <w:bookmarkEnd w:id="138"/>
      <w:bookmarkEnd w:id="139"/>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项目部是危险源管控主体，负责落实风险管控措施。公司、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负责审核危险源管控措施并重点监督。</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项目级重要危险源管控措施：</w:t>
      </w:r>
    </w:p>
    <w:p>
      <w:pPr>
        <w:spacing w:before="156" w:after="156"/>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1）</w:t>
      </w:r>
      <w:r>
        <w:rPr>
          <w:rFonts w:hint="eastAsia" w:ascii="方正仿宋_GBK" w:hAnsi="方正仿宋_GBK" w:eastAsia="方正仿宋_GBK" w:cs="方正仿宋_GBK"/>
          <w:b/>
          <w:bCs/>
          <w:color w:val="auto"/>
          <w:sz w:val="28"/>
          <w:szCs w:val="28"/>
        </w:rPr>
        <w:t>项目技术部门组织</w:t>
      </w:r>
      <w:r>
        <w:rPr>
          <w:rFonts w:hint="eastAsia" w:ascii="方正仿宋_GBK" w:hAnsi="方正仿宋_GBK" w:eastAsia="方正仿宋_GBK" w:cs="方正仿宋_GBK"/>
          <w:b/>
          <w:bCs/>
          <w:color w:val="auto"/>
          <w:kern w:val="0"/>
          <w:sz w:val="28"/>
          <w:szCs w:val="28"/>
        </w:rPr>
        <w:t>编制专项施工方案（主要风险和安全控制措施）；</w:t>
      </w:r>
    </w:p>
    <w:p>
      <w:pPr>
        <w:spacing w:before="156" w:after="156"/>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2）</w:t>
      </w:r>
      <w:r>
        <w:rPr>
          <w:rFonts w:hint="eastAsia" w:ascii="方正仿宋_GBK" w:hAnsi="方正仿宋_GBK" w:eastAsia="方正仿宋_GBK" w:cs="方正仿宋_GBK"/>
          <w:b/>
          <w:bCs/>
          <w:color w:val="auto"/>
          <w:sz w:val="28"/>
          <w:szCs w:val="28"/>
        </w:rPr>
        <w:t>项目</w:t>
      </w:r>
      <w:r>
        <w:rPr>
          <w:rFonts w:hint="eastAsia" w:ascii="方正仿宋_GBK" w:hAnsi="方正仿宋_GBK" w:eastAsia="方正仿宋_GBK" w:cs="方正仿宋_GBK"/>
          <w:b/>
          <w:bCs/>
          <w:color w:val="auto"/>
          <w:kern w:val="0"/>
          <w:sz w:val="28"/>
          <w:szCs w:val="28"/>
        </w:rPr>
        <w:t>工程管理部门重点组织协调，并指定责任工程师负责，作业过程中跟踪指导，专职安全员旁站监督；</w:t>
      </w:r>
    </w:p>
    <w:p>
      <w:pPr>
        <w:spacing w:before="156" w:after="156"/>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3）</w:t>
      </w:r>
      <w:r>
        <w:rPr>
          <w:rFonts w:hint="eastAsia" w:ascii="方正仿宋_GBK" w:hAnsi="方正仿宋_GBK" w:eastAsia="方正仿宋_GBK" w:cs="方正仿宋_GBK"/>
          <w:b/>
          <w:bCs/>
          <w:color w:val="auto"/>
          <w:sz w:val="28"/>
          <w:szCs w:val="28"/>
        </w:rPr>
        <w:t>项目安全生产监督管理部门</w:t>
      </w:r>
      <w:r>
        <w:rPr>
          <w:rFonts w:hint="eastAsia" w:ascii="方正仿宋_GBK" w:hAnsi="方正仿宋_GBK" w:eastAsia="方正仿宋_GBK" w:cs="方正仿宋_GBK"/>
          <w:b/>
          <w:bCs/>
          <w:color w:val="auto"/>
          <w:kern w:val="0"/>
          <w:sz w:val="28"/>
          <w:szCs w:val="28"/>
        </w:rPr>
        <w:t>日常重点监督检查；</w:t>
      </w:r>
    </w:p>
    <w:p>
      <w:pPr>
        <w:spacing w:before="156" w:after="156"/>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4）</w:t>
      </w:r>
      <w:r>
        <w:rPr>
          <w:rFonts w:hint="eastAsia" w:ascii="方正仿宋_GBK" w:hAnsi="方正仿宋_GBK" w:eastAsia="方正仿宋_GBK" w:cs="方正仿宋_GBK"/>
          <w:b/>
          <w:bCs/>
          <w:color w:val="auto"/>
          <w:sz w:val="28"/>
          <w:szCs w:val="28"/>
        </w:rPr>
        <w:t>项目</w:t>
      </w:r>
      <w:r>
        <w:rPr>
          <w:rFonts w:hint="eastAsia" w:ascii="方正仿宋_GBK" w:hAnsi="方正仿宋_GBK" w:eastAsia="方正仿宋_GBK" w:cs="方正仿宋_GBK"/>
          <w:b/>
          <w:bCs/>
          <w:color w:val="auto"/>
          <w:kern w:val="0"/>
          <w:sz w:val="28"/>
          <w:szCs w:val="28"/>
        </w:rPr>
        <w:t>安全生产领导小组周检时重点检查。</w:t>
      </w:r>
    </w:p>
    <w:p>
      <w:pPr>
        <w:numPr>
          <w:ilvl w:val="1"/>
          <w:numId w:val="4"/>
        </w:numPr>
        <w:spacing w:before="156" w:after="156"/>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一般安全技术方案：由技术人员编制，</w:t>
      </w:r>
      <w:r>
        <w:rPr>
          <w:rFonts w:hint="eastAsia" w:ascii="方正仿宋_GBK" w:hAnsi="方正仿宋_GBK" w:eastAsia="方正仿宋_GBK" w:cs="方正仿宋_GBK"/>
          <w:b/>
          <w:bCs/>
          <w:color w:val="auto"/>
          <w:kern w:val="0"/>
          <w:sz w:val="28"/>
          <w:szCs w:val="28"/>
          <w:lang w:eastAsia="zh-CN"/>
        </w:rPr>
        <w:t>项目</w:t>
      </w:r>
      <w:r>
        <w:rPr>
          <w:rFonts w:hint="eastAsia" w:ascii="方正仿宋_GBK" w:hAnsi="方正仿宋_GBK" w:eastAsia="方正仿宋_GBK" w:cs="方正仿宋_GBK"/>
          <w:b/>
          <w:bCs/>
          <w:color w:val="auto"/>
          <w:kern w:val="0"/>
          <w:sz w:val="28"/>
          <w:szCs w:val="28"/>
        </w:rPr>
        <w:t xml:space="preserve">技术负责人审批 </w:t>
      </w:r>
    </w:p>
    <w:p>
      <w:pPr>
        <w:numPr>
          <w:ilvl w:val="1"/>
          <w:numId w:val="4"/>
        </w:numPr>
        <w:spacing w:before="156" w:after="156"/>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危险性较大的分部分项工程：由</w:t>
      </w:r>
      <w:r>
        <w:rPr>
          <w:rFonts w:hint="eastAsia" w:ascii="方正仿宋_GBK" w:hAnsi="方正仿宋_GBK" w:eastAsia="方正仿宋_GBK" w:cs="方正仿宋_GBK"/>
          <w:b/>
          <w:bCs/>
          <w:color w:val="auto"/>
          <w:kern w:val="0"/>
          <w:sz w:val="28"/>
          <w:szCs w:val="28"/>
          <w:lang w:eastAsia="zh-CN"/>
        </w:rPr>
        <w:t>项目</w:t>
      </w:r>
      <w:r>
        <w:rPr>
          <w:rFonts w:hint="eastAsia" w:ascii="方正仿宋_GBK" w:hAnsi="方正仿宋_GBK" w:eastAsia="方正仿宋_GBK" w:cs="方正仿宋_GBK"/>
          <w:b/>
          <w:bCs/>
          <w:color w:val="auto"/>
          <w:kern w:val="0"/>
          <w:sz w:val="28"/>
          <w:szCs w:val="28"/>
        </w:rPr>
        <w:t xml:space="preserve">技术部门组织编制，企业技术部门组织审核，企业技术负责人审批 </w:t>
      </w:r>
    </w:p>
    <w:p>
      <w:pPr>
        <w:numPr>
          <w:ilvl w:val="1"/>
          <w:numId w:val="4"/>
        </w:numPr>
        <w:spacing w:before="156" w:after="156"/>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超过一定规模危险性较大的分部分项工程：由</w:t>
      </w:r>
      <w:r>
        <w:rPr>
          <w:rFonts w:hint="eastAsia" w:ascii="方正仿宋_GBK" w:hAnsi="方正仿宋_GBK" w:eastAsia="方正仿宋_GBK" w:cs="方正仿宋_GBK"/>
          <w:b/>
          <w:bCs/>
          <w:color w:val="auto"/>
          <w:kern w:val="0"/>
          <w:sz w:val="28"/>
          <w:szCs w:val="28"/>
          <w:lang w:eastAsia="zh-CN"/>
        </w:rPr>
        <w:t>项目</w:t>
      </w:r>
      <w:r>
        <w:rPr>
          <w:rFonts w:hint="eastAsia" w:ascii="方正仿宋_GBK" w:hAnsi="方正仿宋_GBK" w:eastAsia="方正仿宋_GBK" w:cs="方正仿宋_GBK"/>
          <w:b/>
          <w:bCs/>
          <w:color w:val="auto"/>
          <w:kern w:val="0"/>
          <w:sz w:val="28"/>
          <w:szCs w:val="28"/>
        </w:rPr>
        <w:t xml:space="preserve">技术负责人组织编制，专家论证后，由企业技术负责人审批 </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公司级重要危险源管控措施：</w:t>
      </w:r>
    </w:p>
    <w:p>
      <w:pPr>
        <w:spacing w:before="156" w:after="156"/>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1）</w:t>
      </w:r>
      <w:r>
        <w:rPr>
          <w:rFonts w:hint="eastAsia" w:ascii="方正仿宋_GBK" w:hAnsi="方正仿宋_GBK" w:eastAsia="方正仿宋_GBK" w:cs="方正仿宋_GBK"/>
          <w:b/>
          <w:bCs/>
          <w:color w:val="auto"/>
          <w:sz w:val="28"/>
          <w:szCs w:val="28"/>
        </w:rPr>
        <w:t>项目技术负责人组织编制</w:t>
      </w:r>
      <w:r>
        <w:rPr>
          <w:rFonts w:hint="eastAsia" w:ascii="方正仿宋_GBK" w:hAnsi="方正仿宋_GBK" w:eastAsia="方正仿宋_GBK" w:cs="方正仿宋_GBK"/>
          <w:b/>
          <w:bCs/>
          <w:color w:val="auto"/>
          <w:kern w:val="0"/>
          <w:sz w:val="28"/>
          <w:szCs w:val="28"/>
        </w:rPr>
        <w:t>专项施工方案（主要风险和安全控制措施，异常情况应急处置措施），按规定审批（需要专家论证的按规定组织论证）；</w:t>
      </w:r>
    </w:p>
    <w:p>
      <w:pPr>
        <w:spacing w:before="156" w:after="156"/>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2）</w:t>
      </w:r>
      <w:r>
        <w:rPr>
          <w:rFonts w:hint="eastAsia" w:ascii="方正仿宋_GBK" w:hAnsi="方正仿宋_GBK" w:eastAsia="方正仿宋_GBK" w:cs="方正仿宋_GBK"/>
          <w:b/>
          <w:bCs/>
          <w:color w:val="auto"/>
          <w:sz w:val="28"/>
          <w:szCs w:val="28"/>
        </w:rPr>
        <w:t>项目</w:t>
      </w:r>
      <w:r>
        <w:rPr>
          <w:rFonts w:hint="eastAsia" w:ascii="方正仿宋_GBK" w:hAnsi="方正仿宋_GBK" w:eastAsia="方正仿宋_GBK" w:cs="方正仿宋_GBK"/>
          <w:b/>
          <w:bCs/>
          <w:color w:val="auto"/>
          <w:kern w:val="0"/>
          <w:sz w:val="28"/>
          <w:szCs w:val="28"/>
        </w:rPr>
        <w:t>分管安全生产领导牵头组织协调，相关部门指定责任工程师负责，作业过程中跟踪指导；</w:t>
      </w:r>
    </w:p>
    <w:p>
      <w:pPr>
        <w:spacing w:before="156" w:after="156"/>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3）作业面安装远程视频监控；</w:t>
      </w:r>
    </w:p>
    <w:p>
      <w:pPr>
        <w:spacing w:before="156" w:after="156"/>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4）作业过程中责任工程师、专职安全员旁站监督；</w:t>
      </w:r>
    </w:p>
    <w:p>
      <w:pPr>
        <w:spacing w:before="156" w:after="156"/>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5）</w:t>
      </w:r>
      <w:r>
        <w:rPr>
          <w:rFonts w:hint="eastAsia" w:ascii="方正仿宋_GBK" w:hAnsi="方正仿宋_GBK" w:eastAsia="方正仿宋_GBK" w:cs="方正仿宋_GBK"/>
          <w:b/>
          <w:bCs/>
          <w:color w:val="auto"/>
          <w:sz w:val="28"/>
          <w:szCs w:val="28"/>
        </w:rPr>
        <w:t>项目</w:t>
      </w:r>
      <w:r>
        <w:rPr>
          <w:rFonts w:hint="eastAsia" w:ascii="方正仿宋_GBK" w:hAnsi="方正仿宋_GBK" w:eastAsia="方正仿宋_GBK" w:cs="方正仿宋_GBK"/>
          <w:b/>
          <w:bCs/>
          <w:color w:val="auto"/>
          <w:kern w:val="0"/>
          <w:sz w:val="28"/>
          <w:szCs w:val="28"/>
        </w:rPr>
        <w:t>安全生产领导小组周检时重点检查，需要时组织专项检查；</w:t>
      </w:r>
    </w:p>
    <w:p>
      <w:pPr>
        <w:spacing w:before="156" w:after="156"/>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6）</w:t>
      </w:r>
      <w:r>
        <w:rPr>
          <w:rFonts w:hint="eastAsia" w:ascii="方正仿宋_GBK" w:hAnsi="方正仿宋_GBK" w:eastAsia="方正仿宋_GBK" w:cs="方正仿宋_GBK"/>
          <w:b/>
          <w:bCs/>
          <w:color w:val="auto"/>
          <w:sz w:val="28"/>
          <w:szCs w:val="28"/>
        </w:rPr>
        <w:t>项目</w:t>
      </w:r>
      <w:r>
        <w:rPr>
          <w:rFonts w:hint="eastAsia" w:ascii="方正仿宋_GBK" w:hAnsi="方正仿宋_GBK" w:eastAsia="方正仿宋_GBK" w:cs="方正仿宋_GBK"/>
          <w:b/>
          <w:bCs/>
          <w:color w:val="auto"/>
          <w:kern w:val="0"/>
          <w:sz w:val="28"/>
          <w:szCs w:val="28"/>
        </w:rPr>
        <w:t>技术负责人牵头组织节点验收；</w:t>
      </w:r>
    </w:p>
    <w:p>
      <w:pPr>
        <w:spacing w:before="156" w:after="156"/>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7）</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kern w:val="0"/>
          <w:sz w:val="28"/>
          <w:szCs w:val="28"/>
        </w:rPr>
        <w:t>组织关键验收；</w:t>
      </w:r>
    </w:p>
    <w:p>
      <w:pPr>
        <w:spacing w:before="156" w:after="156"/>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8）</w:t>
      </w:r>
      <w:r>
        <w:rPr>
          <w:rFonts w:hint="eastAsia" w:ascii="方正仿宋_GBK" w:hAnsi="方正仿宋_GBK" w:eastAsia="方正仿宋_GBK" w:cs="方正仿宋_GBK"/>
          <w:b/>
          <w:bCs/>
          <w:color w:val="auto"/>
          <w:kern w:val="0"/>
          <w:sz w:val="28"/>
          <w:szCs w:val="28"/>
          <w:lang w:eastAsia="zh-CN"/>
        </w:rPr>
        <w:t>子公司</w:t>
      </w:r>
      <w:r>
        <w:rPr>
          <w:rFonts w:hint="eastAsia" w:ascii="方正仿宋_GBK" w:hAnsi="方正仿宋_GBK" w:eastAsia="方正仿宋_GBK" w:cs="方正仿宋_GBK"/>
          <w:b/>
          <w:bCs/>
          <w:color w:val="auto"/>
          <w:kern w:val="0"/>
          <w:sz w:val="28"/>
          <w:szCs w:val="28"/>
        </w:rPr>
        <w:t>月检时重点检查；</w:t>
      </w:r>
    </w:p>
    <w:p>
      <w:pPr>
        <w:spacing w:before="156" w:after="156"/>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9）公司安全检查时重点检查。</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eastAsia="zh-CN"/>
        </w:rPr>
        <w:t>地方</w:t>
      </w:r>
      <w:r>
        <w:rPr>
          <w:rFonts w:hint="eastAsia" w:ascii="方正仿宋_GBK" w:hAnsi="方正仿宋_GBK" w:eastAsia="方正仿宋_GBK" w:cs="方正仿宋_GBK"/>
          <w:b/>
          <w:bCs/>
          <w:color w:val="auto"/>
          <w:sz w:val="28"/>
          <w:szCs w:val="28"/>
        </w:rPr>
        <w:t>级重要危险源管控措施：</w:t>
      </w:r>
    </w:p>
    <w:p>
      <w:pPr>
        <w:spacing w:before="156" w:after="156"/>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1）</w:t>
      </w:r>
      <w:r>
        <w:rPr>
          <w:rFonts w:hint="eastAsia" w:ascii="方正仿宋_GBK" w:hAnsi="方正仿宋_GBK" w:eastAsia="方正仿宋_GBK" w:cs="方正仿宋_GBK"/>
          <w:b/>
          <w:bCs/>
          <w:color w:val="auto"/>
          <w:sz w:val="28"/>
          <w:szCs w:val="28"/>
        </w:rPr>
        <w:t>项目技术负责人组织</w:t>
      </w:r>
      <w:r>
        <w:rPr>
          <w:rFonts w:hint="eastAsia" w:ascii="方正仿宋_GBK" w:hAnsi="方正仿宋_GBK" w:eastAsia="方正仿宋_GBK" w:cs="方正仿宋_GBK"/>
          <w:b/>
          <w:bCs/>
          <w:color w:val="auto"/>
          <w:kern w:val="0"/>
          <w:sz w:val="28"/>
          <w:szCs w:val="28"/>
        </w:rPr>
        <w:t>编制专项施工方案（主要风险和安全控制措施，异常情况应急处置措施），按规定审批（需要专家论证的按规定组织论证）；</w:t>
      </w:r>
    </w:p>
    <w:p>
      <w:pPr>
        <w:spacing w:before="156" w:after="156"/>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2）</w:t>
      </w:r>
      <w:r>
        <w:rPr>
          <w:rFonts w:hint="eastAsia" w:ascii="方正仿宋_GBK" w:hAnsi="方正仿宋_GBK" w:eastAsia="方正仿宋_GBK" w:cs="方正仿宋_GBK"/>
          <w:b/>
          <w:bCs/>
          <w:color w:val="auto"/>
          <w:sz w:val="28"/>
          <w:szCs w:val="28"/>
        </w:rPr>
        <w:t>项目</w:t>
      </w:r>
      <w:r>
        <w:rPr>
          <w:rFonts w:hint="eastAsia" w:ascii="方正仿宋_GBK" w:hAnsi="方正仿宋_GBK" w:eastAsia="方正仿宋_GBK" w:cs="方正仿宋_GBK"/>
          <w:b/>
          <w:bCs/>
          <w:color w:val="auto"/>
          <w:kern w:val="0"/>
          <w:sz w:val="28"/>
          <w:szCs w:val="28"/>
        </w:rPr>
        <w:t>主要负责人牵头组织，制定实施计划，相关部门经理组织落实并跟踪指导；</w:t>
      </w:r>
    </w:p>
    <w:p>
      <w:pPr>
        <w:spacing w:before="156" w:after="156"/>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3）作业面安装远程视频监控；</w:t>
      </w:r>
    </w:p>
    <w:p>
      <w:pPr>
        <w:spacing w:before="156" w:after="156"/>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4）作业过程中责任工程师、专职安全员旁站监督；</w:t>
      </w:r>
    </w:p>
    <w:p>
      <w:pPr>
        <w:spacing w:before="156" w:after="156"/>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5）</w:t>
      </w:r>
      <w:r>
        <w:rPr>
          <w:rFonts w:hint="eastAsia" w:ascii="方正仿宋_GBK" w:hAnsi="方正仿宋_GBK" w:eastAsia="方正仿宋_GBK" w:cs="方正仿宋_GBK"/>
          <w:b/>
          <w:bCs/>
          <w:color w:val="auto"/>
          <w:sz w:val="28"/>
          <w:szCs w:val="28"/>
        </w:rPr>
        <w:t>项目</w:t>
      </w:r>
      <w:r>
        <w:rPr>
          <w:rFonts w:hint="eastAsia" w:ascii="方正仿宋_GBK" w:hAnsi="方正仿宋_GBK" w:eastAsia="方正仿宋_GBK" w:cs="方正仿宋_GBK"/>
          <w:b/>
          <w:bCs/>
          <w:color w:val="auto"/>
          <w:kern w:val="0"/>
          <w:sz w:val="28"/>
          <w:szCs w:val="28"/>
        </w:rPr>
        <w:t>安全生产领导小组周检时重点检查，并定期组织专项检查；</w:t>
      </w:r>
    </w:p>
    <w:p>
      <w:pPr>
        <w:spacing w:before="156" w:after="156"/>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6）</w:t>
      </w:r>
      <w:r>
        <w:rPr>
          <w:rFonts w:hint="eastAsia" w:ascii="方正仿宋_GBK" w:hAnsi="方正仿宋_GBK" w:eastAsia="方正仿宋_GBK" w:cs="方正仿宋_GBK"/>
          <w:b/>
          <w:bCs/>
          <w:color w:val="auto"/>
          <w:sz w:val="28"/>
          <w:szCs w:val="28"/>
        </w:rPr>
        <w:t>项目</w:t>
      </w:r>
      <w:r>
        <w:rPr>
          <w:rFonts w:hint="eastAsia" w:ascii="方正仿宋_GBK" w:hAnsi="方正仿宋_GBK" w:eastAsia="方正仿宋_GBK" w:cs="方正仿宋_GBK"/>
          <w:b/>
          <w:bCs/>
          <w:color w:val="auto"/>
          <w:kern w:val="0"/>
          <w:sz w:val="28"/>
          <w:szCs w:val="28"/>
        </w:rPr>
        <w:t>技术负责人牵头组织节点验收；</w:t>
      </w:r>
    </w:p>
    <w:p>
      <w:pPr>
        <w:spacing w:before="156" w:after="156"/>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7）</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kern w:val="0"/>
          <w:sz w:val="28"/>
          <w:szCs w:val="28"/>
        </w:rPr>
        <w:t>组织关键验收，公司相关部门参加；</w:t>
      </w:r>
    </w:p>
    <w:p>
      <w:pPr>
        <w:spacing w:before="156" w:after="156"/>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8）</w:t>
      </w:r>
      <w:r>
        <w:rPr>
          <w:rFonts w:hint="eastAsia" w:ascii="方正仿宋_GBK" w:hAnsi="方正仿宋_GBK" w:eastAsia="方正仿宋_GBK" w:cs="方正仿宋_GBK"/>
          <w:b/>
          <w:bCs/>
          <w:color w:val="auto"/>
          <w:kern w:val="0"/>
          <w:sz w:val="28"/>
          <w:szCs w:val="28"/>
          <w:lang w:eastAsia="zh-CN"/>
        </w:rPr>
        <w:t>子公司</w:t>
      </w:r>
      <w:r>
        <w:rPr>
          <w:rFonts w:hint="eastAsia" w:ascii="方正仿宋_GBK" w:hAnsi="方正仿宋_GBK" w:eastAsia="方正仿宋_GBK" w:cs="方正仿宋_GBK"/>
          <w:b/>
          <w:bCs/>
          <w:color w:val="auto"/>
          <w:kern w:val="0"/>
          <w:sz w:val="28"/>
          <w:szCs w:val="28"/>
        </w:rPr>
        <w:t>月检时重点检查；</w:t>
      </w:r>
    </w:p>
    <w:p>
      <w:pPr>
        <w:spacing w:before="156" w:after="156"/>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9）公司安全检查时重点检查。</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主体结构施工实行作业面许可证制度，新开作业面，区域责任工程师负责落实安全通道、安全防护、照明、临电布设等安全生产条件，安全员检查确认并经</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分管安全生产领导审批后方可开始施工。</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二次结构、机电安装、装饰作业实行作业面移交制度，区域施工任务主导单位（分包）为作业面责任单位，责任单位牵头负责区域作业面安全文明施工管理，其他穿插施工单位服从责任单位协调管理。现场标挂区域作业面管理信息牌，公示区域划分、责任单位、协调联系人、检查评比结果等信息。</w:t>
      </w:r>
    </w:p>
    <w:p>
      <w:pPr>
        <w:pStyle w:val="2"/>
        <w:spacing w:before="156" w:after="156"/>
        <w:rPr>
          <w:rFonts w:hint="eastAsia" w:ascii="方正黑体_GBK" w:hAnsi="方正黑体_GBK" w:eastAsia="方正黑体_GBK" w:cs="方正黑体_GBK"/>
          <w:b/>
          <w:bCs/>
          <w:color w:val="auto"/>
          <w:sz w:val="28"/>
          <w:szCs w:val="28"/>
        </w:rPr>
      </w:pPr>
      <w:bookmarkStart w:id="140" w:name="_Toc24656_WPSOffice_Level1"/>
      <w:r>
        <w:rPr>
          <w:rFonts w:hint="eastAsia" w:ascii="方正黑体_GBK" w:hAnsi="方正黑体_GBK" w:eastAsia="方正黑体_GBK" w:cs="方正黑体_GBK"/>
          <w:b/>
          <w:bCs/>
          <w:color w:val="auto"/>
          <w:sz w:val="28"/>
          <w:szCs w:val="28"/>
        </w:rPr>
        <w:t>安全生产技术管理</w:t>
      </w:r>
      <w:bookmarkEnd w:id="83"/>
      <w:bookmarkEnd w:id="84"/>
      <w:bookmarkEnd w:id="140"/>
    </w:p>
    <w:p>
      <w:pPr>
        <w:pStyle w:val="3"/>
        <w:spacing w:before="156" w:after="156"/>
        <w:rPr>
          <w:rFonts w:hint="eastAsia" w:ascii="方正楷体_GBK" w:hAnsi="方正楷体_GBK" w:eastAsia="方正楷体_GBK" w:cs="方正楷体_GBK"/>
          <w:b/>
          <w:bCs/>
          <w:color w:val="auto"/>
          <w:sz w:val="28"/>
          <w:szCs w:val="28"/>
        </w:rPr>
      </w:pPr>
      <w:bookmarkStart w:id="141" w:name="_Toc21844_WPSOffice_Level2"/>
      <w:bookmarkStart w:id="142" w:name="_Toc6260_WPSOffice_Level2"/>
      <w:r>
        <w:rPr>
          <w:rFonts w:hint="eastAsia" w:ascii="方正楷体_GBK" w:hAnsi="方正楷体_GBK" w:eastAsia="方正楷体_GBK" w:cs="方正楷体_GBK"/>
          <w:b/>
          <w:bCs/>
          <w:color w:val="auto"/>
          <w:sz w:val="28"/>
          <w:szCs w:val="28"/>
        </w:rPr>
        <w:t>制度与体系</w:t>
      </w:r>
      <w:bookmarkEnd w:id="141"/>
      <w:bookmarkEnd w:id="142"/>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应制定安全生产技术管理制度，建立以本单位技术负责人为核心的生产安全技术保障体系。</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各级企业对建设项目，要严格执行国家“三同时”规定，防治污染的设施、安全设施、职业病防护设施与主体工程同时设计、同时施工、同时投入生产和使用。</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应开展安全创新工作，注重“新技术、新材料、新工艺、新设备”的应用，推广使用信息化手段，进行安全生产教育、监测、监督、评价等，提升安全生产监督管理水平。</w:t>
      </w:r>
    </w:p>
    <w:p>
      <w:pPr>
        <w:pStyle w:val="3"/>
        <w:spacing w:before="156" w:after="156"/>
        <w:rPr>
          <w:rFonts w:hint="eastAsia" w:ascii="方正楷体_GBK" w:hAnsi="方正楷体_GBK" w:eastAsia="方正楷体_GBK" w:cs="方正楷体_GBK"/>
          <w:b/>
          <w:bCs/>
          <w:color w:val="auto"/>
          <w:sz w:val="28"/>
          <w:szCs w:val="28"/>
        </w:rPr>
      </w:pPr>
      <w:bookmarkStart w:id="143" w:name="_Toc2161_WPSOffice_Level2"/>
      <w:bookmarkStart w:id="144" w:name="_Toc8214_WPSOffice_Level2"/>
      <w:r>
        <w:rPr>
          <w:rFonts w:hint="eastAsia" w:ascii="方正楷体_GBK" w:hAnsi="方正楷体_GBK" w:eastAsia="方正楷体_GBK" w:cs="方正楷体_GBK"/>
          <w:b/>
          <w:bCs/>
          <w:color w:val="auto"/>
          <w:sz w:val="28"/>
          <w:szCs w:val="28"/>
        </w:rPr>
        <w:t>施工方案</w:t>
      </w:r>
      <w:bookmarkEnd w:id="143"/>
      <w:bookmarkEnd w:id="144"/>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项目施工组织设计或施工方案应针对工程特点进行风险分析，制定有针对性安全技术措施。施工组织设计应附“危险性较大分部分项工程清单”和“超过一定规模危险性较大分部分项工程清单”。</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危险性较大分部分项工程和超过一定规模危险性较大分部分项工程应按规定编制专项施工方案。专项方案应根据工程特点和现场条件进行风险分析，制定具体安全技术措施并附“重要危险因素清单”。</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制定施工组织设计和专项方案审批制度，施工组织设计和专项方案必须经审核、审批后方可实施，超过一定规模危险性较大分部分项工程专项方案，须按规定组织专家论证。</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施工过程中方案编制人和审批人应对方案执行情况进行跟踪，安全生产监督管理部门负责监督安全技术措施的落实。</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施工过程中，工程部门负责安全技术措施的组织实施，严禁擅自改变方案。因现场条件变化方案安全措施无法实施时，须由方案编制人修改具体措施后实施，方案的改变需报审批人确认。</w:t>
      </w:r>
    </w:p>
    <w:p>
      <w:pPr>
        <w:pStyle w:val="3"/>
        <w:spacing w:before="156" w:after="156"/>
        <w:rPr>
          <w:rFonts w:hint="eastAsia" w:ascii="方正楷体_GBK" w:hAnsi="方正楷体_GBK" w:eastAsia="方正楷体_GBK" w:cs="方正楷体_GBK"/>
          <w:b/>
          <w:bCs/>
          <w:color w:val="auto"/>
          <w:sz w:val="28"/>
          <w:szCs w:val="28"/>
        </w:rPr>
      </w:pPr>
      <w:bookmarkStart w:id="145" w:name="_Toc32594_WPSOffice_Level2"/>
      <w:bookmarkStart w:id="146" w:name="_Toc27674_WPSOffice_Level2"/>
      <w:r>
        <w:rPr>
          <w:rFonts w:hint="eastAsia" w:ascii="方正楷体_GBK" w:hAnsi="方正楷体_GBK" w:eastAsia="方正楷体_GBK" w:cs="方正楷体_GBK"/>
          <w:b/>
          <w:bCs/>
          <w:color w:val="auto"/>
          <w:sz w:val="28"/>
          <w:szCs w:val="28"/>
        </w:rPr>
        <w:t>安全技术交底</w:t>
      </w:r>
      <w:bookmarkEnd w:id="145"/>
      <w:bookmarkEnd w:id="146"/>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安全技术交底应逐级进行，交底顺序如下：</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1）施工组织设计交底顺序为：项目总工程师→职能部门→责任工程师；</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2）专项施工方案交底顺序为：项目总工程师/技术人员</w:t>
      </w:r>
      <w:r>
        <w:rPr>
          <w:rFonts w:hint="eastAsia" w:ascii="方正仿宋_GBK" w:hAnsi="方正仿宋_GBK" w:eastAsia="方正仿宋_GBK" w:cs="方正仿宋_GBK"/>
          <w:b/>
          <w:bCs/>
          <w:color w:val="auto"/>
          <w:sz w:val="28"/>
          <w:szCs w:val="28"/>
          <w:lang w:eastAsia="zh-CN"/>
        </w:rPr>
        <w:t>（</w:t>
      </w:r>
      <w:r>
        <w:rPr>
          <w:rFonts w:hint="eastAsia" w:ascii="方正仿宋_GBK" w:hAnsi="方正仿宋_GBK" w:eastAsia="方正仿宋_GBK" w:cs="方正仿宋_GBK"/>
          <w:b/>
          <w:bCs/>
          <w:color w:val="auto"/>
          <w:sz w:val="28"/>
          <w:szCs w:val="28"/>
          <w:lang w:val="en-US" w:eastAsia="zh-CN"/>
        </w:rPr>
        <w:t>总工授权</w:t>
      </w:r>
      <w:r>
        <w:rPr>
          <w:rFonts w:hint="eastAsia" w:ascii="方正仿宋_GBK" w:hAnsi="方正仿宋_GBK" w:eastAsia="方正仿宋_GBK" w:cs="方正仿宋_GBK"/>
          <w:b/>
          <w:bCs/>
          <w:color w:val="auto"/>
          <w:sz w:val="28"/>
          <w:szCs w:val="28"/>
          <w:lang w:eastAsia="zh-CN"/>
        </w:rPr>
        <w:t>）</w:t>
      </w:r>
      <w:r>
        <w:rPr>
          <w:rFonts w:hint="eastAsia" w:ascii="方正仿宋_GBK" w:hAnsi="方正仿宋_GBK" w:eastAsia="方正仿宋_GBK" w:cs="方正仿宋_GBK"/>
          <w:b/>
          <w:bCs/>
          <w:color w:val="auto"/>
          <w:sz w:val="28"/>
          <w:szCs w:val="28"/>
        </w:rPr>
        <w:t>→责任工程师→作业工人。</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对工人的安全技术交底应在施工前组织，每个分项工程分工种、分区域进行，针对现场具体情况，交待主要危险点、控制措施及操作注意事项。</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安全技术交底必须全体作业人员参加，交底人和接受交底人书面签字并留存记录。</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安全生产监督管理部门参与对工人的交底，审核交底内容。下列情况须补充、重新交底：</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1）施工季节改变；</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2）更新设备或采用新技术、新工艺；</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3）发生安全事故后；</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4）发现新不安全因素或作业环境发生了变化。</w:t>
      </w:r>
    </w:p>
    <w:p>
      <w:pPr>
        <w:pStyle w:val="3"/>
        <w:spacing w:before="156" w:after="156"/>
        <w:rPr>
          <w:rFonts w:hint="eastAsia" w:ascii="方正楷体_GBK" w:hAnsi="方正楷体_GBK" w:eastAsia="方正楷体_GBK" w:cs="方正楷体_GBK"/>
          <w:b/>
          <w:bCs/>
          <w:color w:val="auto"/>
          <w:sz w:val="28"/>
          <w:szCs w:val="28"/>
        </w:rPr>
      </w:pPr>
      <w:bookmarkStart w:id="147" w:name="_Toc25281_WPSOffice_Level2"/>
      <w:bookmarkStart w:id="148" w:name="_Toc2231_WPSOffice_Level2"/>
      <w:r>
        <w:rPr>
          <w:rFonts w:hint="eastAsia" w:ascii="方正楷体_GBK" w:hAnsi="方正楷体_GBK" w:eastAsia="方正楷体_GBK" w:cs="方正楷体_GBK"/>
          <w:b/>
          <w:bCs/>
          <w:color w:val="auto"/>
          <w:sz w:val="28"/>
          <w:szCs w:val="28"/>
        </w:rPr>
        <w:t>安全验收</w:t>
      </w:r>
      <w:bookmarkEnd w:id="147"/>
      <w:bookmarkEnd w:id="148"/>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为验证安全设施、机械设备、工器具等满足规范和方案要求，保证其安全性，</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对下列进场物资、设备设施、安全防护用品实行安全验收制度，验收合格后方可投入使用。</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1）劳动防护用品：安全帽、安全带、安全网等特种劳动防护用品及一般劳动防护用品；</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2）安全防护设施：各类临边洞口安全防护，高层施工外立面水平防护，电梯井内水平防护，机具防护棚等；</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3）各类脚手架：落地式脚手架、悬挑脚手架、爬架等外架，模板支架，大模板插放架，马道及其他脚手架，吊篮，卸料平台，移动操作平台等；</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4）施工临时用电工程：临电系统，漏电保护器等电器；</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5）大型机械设备：塔式起重机、施工升降机、物料提升机、龙门吊、行吊等大型起重设备，汽车吊、履带吊等流动起重设备，架桥机、桥梁挂篮等桥梁施工设备等；</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6）中小型施工机具：钢筋加工机具、木工机具、机电安装工程加工机具，卷扬机等；</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7）消防设施及消防器材：灭火器，消火栓，消防供水系统等；</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8）安全工器具：爬梯，挂笼，氧表，力矩扳手等。</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验收程序：</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1）劳动防护用品和安全工器具：采购人组织验收，安全工程师为验收负责人。</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2）安全防护设施：责任工程师组织验收，安全工程师为验收负责人。</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3）消防设施及消防器材：责任工程师组织验收，工程部门、技术部门参加，项目安全总监为验收负责人。</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4）中小型施工机具：责任工程师组织验收，工程部门、安全生产监督管理部门和分包单位参加，机电工程师为验收负责人。</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5）各类脚手架、施工临时用电工程和大型机械设备：责任工程师组织验收，工程部门、技术部门、安全生产监督管理部门等部门和分包单位参加，方案审批人为验收负责人。</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新采购的安全用品、安全器材、机具、机械设备和安全设施材料，验收时需提供产品合格证，调拨、租赁的进场时验收。</w:t>
      </w:r>
    </w:p>
    <w:p>
      <w:pPr>
        <w:pStyle w:val="4"/>
        <w:spacing w:before="156" w:after="156"/>
        <w:ind w:left="992" w:hanging="992"/>
        <w:rPr>
          <w:rFonts w:hint="eastAsia" w:ascii="方正仿宋_GBK" w:hAnsi="方正仿宋_GBK" w:eastAsia="方正仿宋_GBK" w:cs="方正仿宋_GBK"/>
          <w:b/>
          <w:bCs/>
          <w:color w:val="auto"/>
          <w:sz w:val="28"/>
          <w:szCs w:val="28"/>
        </w:rPr>
      </w:pPr>
      <w:bookmarkStart w:id="149" w:name="_Toc344546983"/>
      <w:r>
        <w:rPr>
          <w:rFonts w:hint="eastAsia" w:ascii="方正仿宋_GBK" w:hAnsi="方正仿宋_GBK" w:eastAsia="方正仿宋_GBK" w:cs="方正仿宋_GBK"/>
          <w:b/>
          <w:bCs/>
          <w:color w:val="auto"/>
          <w:sz w:val="28"/>
          <w:szCs w:val="28"/>
        </w:rPr>
        <w:t>验收应编制验收表，列出验收内容和标准。验收时填写分项验收结果和验收结论，参加验收的各方和验收负责人签字。验收记录由安全生产监督管理部门建档留存。</w:t>
      </w:r>
    </w:p>
    <w:p>
      <w:pPr>
        <w:pStyle w:val="2"/>
        <w:spacing w:before="156" w:after="156"/>
        <w:rPr>
          <w:rFonts w:hint="eastAsia" w:ascii="方正黑体_GBK" w:hAnsi="方正黑体_GBK" w:eastAsia="方正黑体_GBK" w:cs="方正黑体_GBK"/>
          <w:b/>
          <w:bCs/>
          <w:color w:val="auto"/>
          <w:sz w:val="28"/>
          <w:szCs w:val="28"/>
        </w:rPr>
      </w:pPr>
      <w:bookmarkStart w:id="150" w:name="_Toc365276314"/>
      <w:bookmarkStart w:id="151" w:name="_Toc31254_WPSOffice_Level1"/>
      <w:r>
        <w:rPr>
          <w:rFonts w:hint="eastAsia" w:ascii="方正黑体_GBK" w:hAnsi="方正黑体_GBK" w:eastAsia="方正黑体_GBK" w:cs="方正黑体_GBK"/>
          <w:b/>
          <w:bCs/>
          <w:color w:val="auto"/>
          <w:sz w:val="28"/>
          <w:szCs w:val="28"/>
        </w:rPr>
        <w:t>安全教育与培训</w:t>
      </w:r>
      <w:bookmarkEnd w:id="149"/>
      <w:bookmarkEnd w:id="150"/>
      <w:bookmarkEnd w:id="151"/>
    </w:p>
    <w:p>
      <w:pPr>
        <w:pStyle w:val="3"/>
        <w:spacing w:before="156" w:after="156"/>
        <w:rPr>
          <w:rFonts w:hint="eastAsia" w:ascii="方正楷体_GBK" w:hAnsi="方正楷体_GBK" w:eastAsia="方正楷体_GBK" w:cs="方正楷体_GBK"/>
          <w:b/>
          <w:bCs/>
          <w:color w:val="auto"/>
          <w:sz w:val="28"/>
          <w:szCs w:val="28"/>
        </w:rPr>
      </w:pPr>
      <w:bookmarkStart w:id="152" w:name="_Toc9321_WPSOffice_Level2"/>
      <w:bookmarkStart w:id="153" w:name="_Toc1631_WPSOffice_Level2"/>
      <w:r>
        <w:rPr>
          <w:rFonts w:hint="eastAsia" w:ascii="方正楷体_GBK" w:hAnsi="方正楷体_GBK" w:eastAsia="方正楷体_GBK" w:cs="方正楷体_GBK"/>
          <w:b/>
          <w:bCs/>
          <w:color w:val="auto"/>
          <w:sz w:val="28"/>
          <w:szCs w:val="28"/>
        </w:rPr>
        <w:t>管理人员取证培训</w:t>
      </w:r>
      <w:bookmarkEnd w:id="152"/>
      <w:bookmarkEnd w:id="153"/>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主要负责人、分管生产副总经理、总工程师、项目经理和专职安全管理人员需按规定参加建设行政主管部门组织的安全培训，并持“安全考核合格证”上岗。</w:t>
      </w:r>
    </w:p>
    <w:p>
      <w:pPr>
        <w:pStyle w:val="3"/>
        <w:spacing w:before="156" w:after="156"/>
        <w:rPr>
          <w:rFonts w:hint="eastAsia" w:ascii="方正楷体_GBK" w:hAnsi="方正楷体_GBK" w:eastAsia="方正楷体_GBK" w:cs="方正楷体_GBK"/>
          <w:b/>
          <w:bCs/>
          <w:color w:val="auto"/>
          <w:sz w:val="28"/>
          <w:szCs w:val="28"/>
        </w:rPr>
      </w:pPr>
      <w:bookmarkStart w:id="154" w:name="_Toc21521_WPSOffice_Level2"/>
      <w:bookmarkStart w:id="155" w:name="_Toc3472_WPSOffice_Level2"/>
      <w:r>
        <w:rPr>
          <w:rFonts w:hint="eastAsia" w:ascii="方正楷体_GBK" w:hAnsi="方正楷体_GBK" w:eastAsia="方正楷体_GBK" w:cs="方正楷体_GBK"/>
          <w:b/>
          <w:bCs/>
          <w:color w:val="auto"/>
          <w:sz w:val="28"/>
          <w:szCs w:val="28"/>
        </w:rPr>
        <w:t>管理人员日常培训</w:t>
      </w:r>
      <w:bookmarkEnd w:id="154"/>
      <w:bookmarkEnd w:id="155"/>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子公司安全生产领导小组</w:t>
      </w:r>
      <w:r>
        <w:rPr>
          <w:rFonts w:hint="eastAsia" w:ascii="方正仿宋_GBK" w:hAnsi="方正仿宋_GBK" w:eastAsia="方正仿宋_GBK" w:cs="方正仿宋_GBK"/>
          <w:b/>
          <w:bCs/>
          <w:color w:val="auto"/>
          <w:sz w:val="28"/>
          <w:szCs w:val="28"/>
        </w:rPr>
        <w:t>每年应对</w:t>
      </w:r>
      <w:r>
        <w:rPr>
          <w:rFonts w:hint="eastAsia" w:ascii="方正仿宋_GBK" w:hAnsi="方正仿宋_GBK" w:eastAsia="方正仿宋_GBK" w:cs="方正仿宋_GBK"/>
          <w:b/>
          <w:bCs/>
          <w:color w:val="auto"/>
          <w:sz w:val="28"/>
          <w:szCs w:val="28"/>
          <w:lang w:eastAsia="zh-CN"/>
        </w:rPr>
        <w:t>安全生产领导小组</w:t>
      </w:r>
      <w:r>
        <w:rPr>
          <w:rFonts w:hint="eastAsia" w:ascii="方正仿宋_GBK" w:hAnsi="方正仿宋_GBK" w:eastAsia="方正仿宋_GBK" w:cs="方正仿宋_GBK"/>
          <w:b/>
          <w:bCs/>
          <w:color w:val="auto"/>
          <w:sz w:val="28"/>
          <w:szCs w:val="28"/>
        </w:rPr>
        <w:t>成员进行一次安全教育培训，培训学时不低于12学时，培训应包括下列内容：</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1）国家安全生产方针、政策和有关安全生产的法律、法规、规章及标准；</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2）安全生产管理基本知识、安全生产技术、安全生产专业知识；</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3）国内外先进的安全生产管理经验；</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4）典型事故和应急救援案例分析；</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5）其他需要培训的内容。</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每年应对项目经理组织一次安全教育培训，培训学时不低于12学时，培训应包括下列内容：</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1）国家安全生产方针、政策和有关安全生产的法律、法规、规章及标准；</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2）安全生产管理基本知识、安全生产技术、安全生产专业知识；</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3）重大危险源管理、重大事故防范、应急管理和救援组织以及事故调查处理的有关规定；</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4）职业危害及其预防措施；</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5）国内外先进的安全生产管理经验；</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6）典型事故和应急救援案例分析；</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7）其他需要培训的内容。</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每年至少组织一次专职安全管理人员安全教育培训，培训学时不低于12学时，培训应包括下列内容：</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1）国家安全生产方针、政策和有关安全生产的法律、法规、规章及标准；</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2）安全生产管理、安全生产技术、职业卫生等知识；</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3）伤亡事故统计、报告及职业危害的调查处理方法；</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4）应急管理、应急预案编制以及应急处置的内容和要求；</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5）国内外先进的安全生产管理经验；</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6）典型事故和应急救援案例分析；</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7）其他需要培训的内容。</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每年应组织一般管理人员安全培训，累计培训时间不低于20学时，培训内容可参照以上相关培训内容进行。</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新员工入职，公司、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必须组织岗前安全培训，培训时间不得少于24学时，教育培训内容可参照以上相关培训内容进行。</w:t>
      </w:r>
    </w:p>
    <w:p>
      <w:pPr>
        <w:pStyle w:val="3"/>
        <w:spacing w:before="156" w:after="156"/>
        <w:rPr>
          <w:rFonts w:hint="eastAsia" w:ascii="方正楷体_GBK" w:hAnsi="方正楷体_GBK" w:eastAsia="方正楷体_GBK" w:cs="方正楷体_GBK"/>
          <w:b/>
          <w:bCs/>
          <w:color w:val="auto"/>
          <w:sz w:val="28"/>
          <w:szCs w:val="28"/>
        </w:rPr>
      </w:pPr>
      <w:bookmarkStart w:id="156" w:name="_Toc6765_WPSOffice_Level2"/>
      <w:bookmarkStart w:id="157" w:name="_Toc10989_WPSOffice_Level2"/>
      <w:r>
        <w:rPr>
          <w:rFonts w:hint="eastAsia" w:ascii="方正楷体_GBK" w:hAnsi="方正楷体_GBK" w:eastAsia="方正楷体_GBK" w:cs="方正楷体_GBK"/>
          <w:b/>
          <w:bCs/>
          <w:color w:val="auto"/>
          <w:sz w:val="28"/>
          <w:szCs w:val="28"/>
          <w:lang w:val="en-US" w:eastAsia="zh-CN"/>
        </w:rPr>
        <w:t>员工</w:t>
      </w:r>
      <w:r>
        <w:rPr>
          <w:rFonts w:hint="eastAsia" w:ascii="方正楷体_GBK" w:hAnsi="方正楷体_GBK" w:eastAsia="方正楷体_GBK" w:cs="方正楷体_GBK"/>
          <w:b/>
          <w:bCs/>
          <w:color w:val="auto"/>
          <w:sz w:val="28"/>
          <w:szCs w:val="28"/>
        </w:rPr>
        <w:t>培训</w:t>
      </w:r>
      <w:bookmarkEnd w:id="156"/>
      <w:bookmarkEnd w:id="157"/>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员工</w:t>
      </w:r>
      <w:r>
        <w:rPr>
          <w:rFonts w:hint="eastAsia" w:ascii="方正仿宋_GBK" w:hAnsi="方正仿宋_GBK" w:eastAsia="方正仿宋_GBK" w:cs="方正仿宋_GBK"/>
          <w:b/>
          <w:bCs/>
          <w:color w:val="auto"/>
          <w:sz w:val="28"/>
          <w:szCs w:val="28"/>
        </w:rPr>
        <w:t>入</w:t>
      </w:r>
      <w:r>
        <w:rPr>
          <w:rFonts w:hint="eastAsia" w:ascii="方正仿宋_GBK" w:hAnsi="方正仿宋_GBK" w:eastAsia="方正仿宋_GBK" w:cs="方正仿宋_GBK"/>
          <w:b/>
          <w:bCs/>
          <w:color w:val="auto"/>
          <w:sz w:val="28"/>
          <w:szCs w:val="28"/>
          <w:lang w:val="en-US" w:eastAsia="zh-CN"/>
        </w:rPr>
        <w:t>职</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val="en-US" w:eastAsia="zh-CN"/>
        </w:rPr>
        <w:t>上岗</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必须组织对其进行三级安全教育（公司级/厂级、项目部级/车间级、班组级/岗位级），教育培训时间不得少于</w:t>
      </w:r>
      <w:r>
        <w:rPr>
          <w:rFonts w:hint="eastAsia" w:ascii="方正仿宋_GBK" w:hAnsi="方正仿宋_GBK" w:eastAsia="方正仿宋_GBK" w:cs="方正仿宋_GBK"/>
          <w:b/>
          <w:bCs/>
          <w:color w:val="auto"/>
          <w:sz w:val="28"/>
          <w:szCs w:val="28"/>
          <w:lang w:val="en-US" w:eastAsia="zh-CN"/>
        </w:rPr>
        <w:t>24</w:t>
      </w:r>
      <w:r>
        <w:rPr>
          <w:rFonts w:hint="eastAsia" w:ascii="方正仿宋_GBK" w:hAnsi="方正仿宋_GBK" w:eastAsia="方正仿宋_GBK" w:cs="方正仿宋_GBK"/>
          <w:b/>
          <w:bCs/>
          <w:color w:val="auto"/>
          <w:sz w:val="28"/>
          <w:szCs w:val="28"/>
        </w:rPr>
        <w:t>学时。</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公司级/厂级安全教育培训应包括下列内容：</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1）本单位安全生产情况；</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2）本单位安全生产规章制度和劳动纪律；</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3）安全生产基本知识（安全技术知识及安全操作技能）；</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4）从业人员安全生产权力和义务；</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5）事故案例等。</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项目部级/车间级安全教育培训应当包括下列内容：</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1）工作环境及危险因素；</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2）所从事工种可能遭受的职业伤害和伤亡事故；</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3）所从事工种的安全职责、操作技能及强制性标准；</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4）自救互救、急救方法、疏散和现场紧急情况的处理；</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5）安全设备设施、个人防护用品的使用和维护；</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6）预防事故和职业危害的措施及应注意的安全事项；</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7）有关事故案例等。</w:t>
      </w:r>
    </w:p>
    <w:p>
      <w:pPr>
        <w:pStyle w:val="4"/>
        <w:spacing w:before="156" w:after="156"/>
        <w:ind w:left="992" w:hanging="992"/>
        <w:rPr>
          <w:rFonts w:hint="eastAsia" w:ascii="方正仿宋_GBK" w:hAnsi="方正仿宋_GBK" w:eastAsia="方正仿宋_GBK" w:cs="方正仿宋_GBK"/>
          <w:b/>
          <w:bCs/>
          <w:color w:val="auto"/>
          <w:sz w:val="28"/>
          <w:szCs w:val="28"/>
        </w:rPr>
      </w:pPr>
      <w:bookmarkStart w:id="158" w:name="_Toc345061883"/>
      <w:r>
        <w:rPr>
          <w:rFonts w:hint="eastAsia" w:ascii="方正仿宋_GBK" w:hAnsi="方正仿宋_GBK" w:eastAsia="方正仿宋_GBK" w:cs="方正仿宋_GBK"/>
          <w:b/>
          <w:bCs/>
          <w:color w:val="auto"/>
          <w:sz w:val="28"/>
          <w:szCs w:val="28"/>
        </w:rPr>
        <w:t>班组级/岗位级安全教育培训应当包括下列内容：</w:t>
      </w:r>
      <w:bookmarkEnd w:id="158"/>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1）本班组/岗位生产工作概况，工作性质及范围；</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2）岗位之间工作衔接配合的安全与职业卫生事项；</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3）本工种的安全操作规程；</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4）容易发生事故的部位及劳动防护用品的使用要求；</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5）有关事故案例等。</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生产过程中，</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应每年对工人进行不少于20学时的安全教育培训，培训应包括操作规程、典型违章行为和事故案例等内容。</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变换工种或调换工作岗位的工人，</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应组织变换工种安全教育培训。变换工种安全教育培训应当包括以下内容：</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1）新工作岗位或生产班组安全生产概况、工作性质和职责；</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2）新工作岗位必要的安全知识，各种机具设备及安全防护设施的性能和作用；</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3）新工作岗位、新工种的安全技术操作规程；</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4）新工作岗位危险因素及个人防护用品使用要求等。</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特种作业人员必须经专门的安全技术理论和实操培训、考试合格取得建设行政主管部门颁发的特种作业操作证后持岗上岗。生产过程中</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应每月分工种组织特种作业人员安全教育培训，重点培训现场典型违章、事故案例等内容。</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生产过程中，班长应每月组织一次班组安全活动，活动内容包括总结班组月度安全生产情况、通报工程项目安全事项、听取工人安全意见建议等。</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每天作业前，班长应组织班前安全讲话，总结昨天作业存在的主要问题，交待当天作业内容与要求、主要风险点及注意事项等。</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对生产过程中推广使用的新技术、新材料、新工艺、新设备，</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应对有关管理人员和作业人员进行相关的安全技术培训。</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春节等节日放假后复工，项目应组织工人进行复工安全教育培训，培训内容参照入场培训。</w:t>
      </w:r>
    </w:p>
    <w:p>
      <w:pPr>
        <w:pStyle w:val="3"/>
        <w:spacing w:before="156" w:after="156"/>
        <w:rPr>
          <w:rFonts w:hint="eastAsia" w:ascii="方正楷体_GBK" w:hAnsi="方正楷体_GBK" w:eastAsia="方正楷体_GBK" w:cs="方正楷体_GBK"/>
          <w:b/>
          <w:bCs/>
          <w:color w:val="auto"/>
          <w:sz w:val="28"/>
          <w:szCs w:val="28"/>
        </w:rPr>
      </w:pPr>
      <w:bookmarkStart w:id="159" w:name="_Toc28340_WPSOffice_Level2"/>
      <w:bookmarkStart w:id="160" w:name="_Toc24267_WPSOffice_Level2"/>
      <w:r>
        <w:rPr>
          <w:rFonts w:hint="eastAsia" w:ascii="方正楷体_GBK" w:hAnsi="方正楷体_GBK" w:eastAsia="方正楷体_GBK" w:cs="方正楷体_GBK"/>
          <w:b/>
          <w:bCs/>
          <w:color w:val="auto"/>
          <w:sz w:val="28"/>
          <w:szCs w:val="28"/>
        </w:rPr>
        <w:t>培训要求</w:t>
      </w:r>
      <w:bookmarkEnd w:id="159"/>
      <w:bookmarkEnd w:id="160"/>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应高度重视安全教育培训工作，按国家和行业主管部门规定，制定安全教育培训制度，保证安全教育培训投入（资金、物项、时间等）。</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人力资源管理部门负责安全生产教育与培训的组织管理，安全生产监督管理部门应积极配合并提供支持。</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应编制年度安全教育培训计划并按计划组织实施，安全教育培训应覆盖所有管理人员（包括劳务派遣与实习学生）和作业工人。</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安全教育培训形式应多样化，包括组织专门培训班、作业现场模拟操作培训、召开事故现场分析会等，以确保取得实效。培训材料应与实践结合，图文并茂，鼓励采用影视培训和体验式培训。</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培训后应组织考核，保证从业人员具备必要的安全生产知识，熟悉有关安全生产规章制度和安全操作规程，掌握本岗位的安全操作技能，了解事故应急处理措施，知悉自身在安全生产方面的权力和义务。未经安全生产教育和培训合格的从业人员，不得上岗作业。</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安全生产教育培训应形成记录，包括培训通知、培训记录单（培训主题、培训人、培训对象及签名、学时、培训内容等）、培训效果验证及培训照片等。</w:t>
      </w:r>
      <w:bookmarkStart w:id="161" w:name="_Toc344546985"/>
    </w:p>
    <w:p>
      <w:pPr>
        <w:pStyle w:val="2"/>
        <w:spacing w:before="156" w:after="156"/>
        <w:rPr>
          <w:rFonts w:hint="eastAsia" w:ascii="方正黑体_GBK" w:hAnsi="方正黑体_GBK" w:eastAsia="方正黑体_GBK" w:cs="方正黑体_GBK"/>
          <w:b/>
          <w:bCs/>
          <w:color w:val="auto"/>
          <w:sz w:val="28"/>
          <w:szCs w:val="28"/>
        </w:rPr>
      </w:pPr>
      <w:bookmarkStart w:id="162" w:name="_Toc1124_WPSOffice_Level1"/>
      <w:bookmarkStart w:id="163" w:name="_Toc365276315"/>
      <w:r>
        <w:rPr>
          <w:rFonts w:hint="eastAsia" w:ascii="方正黑体_GBK" w:hAnsi="方正黑体_GBK" w:eastAsia="方正黑体_GBK" w:cs="方正黑体_GBK"/>
          <w:b/>
          <w:bCs/>
          <w:color w:val="auto"/>
          <w:sz w:val="28"/>
          <w:szCs w:val="28"/>
        </w:rPr>
        <w:t>安全生产监督检查</w:t>
      </w:r>
      <w:bookmarkEnd w:id="162"/>
      <w:bookmarkEnd w:id="163"/>
    </w:p>
    <w:p>
      <w:pPr>
        <w:pStyle w:val="3"/>
        <w:spacing w:before="156" w:after="156"/>
        <w:rPr>
          <w:rFonts w:hint="eastAsia" w:ascii="方正楷体_GBK" w:hAnsi="方正楷体_GBK" w:eastAsia="方正楷体_GBK" w:cs="方正楷体_GBK"/>
          <w:b/>
          <w:bCs/>
          <w:color w:val="auto"/>
          <w:sz w:val="28"/>
          <w:szCs w:val="28"/>
        </w:rPr>
      </w:pPr>
      <w:bookmarkStart w:id="164" w:name="_Toc7164_WPSOffice_Level2"/>
      <w:bookmarkStart w:id="165" w:name="_Toc6844_WPSOffice_Level2"/>
      <w:r>
        <w:rPr>
          <w:rFonts w:hint="eastAsia" w:ascii="方正楷体_GBK" w:hAnsi="方正楷体_GBK" w:eastAsia="方正楷体_GBK" w:cs="方正楷体_GBK"/>
          <w:b/>
          <w:bCs/>
          <w:color w:val="auto"/>
          <w:sz w:val="28"/>
          <w:szCs w:val="28"/>
        </w:rPr>
        <w:t>例行检查</w:t>
      </w:r>
      <w:bookmarkEnd w:id="164"/>
      <w:bookmarkEnd w:id="165"/>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安全生产管理人员负责本单位日常安全巡视检查，检查可按区域或专业分别进行。安全巡视应覆盖所有作业面，检查内容包括作业条件、施工组织协调、安全技术措施落实、工人行为等内容。重点对作业活动进行风险分析，排除事故隐患。</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危险作业，生产经理、责任工程师、安全员应旁站监督，验证作业条件和安全措施符合性，监督工人作业行为，发现并排除事故隐患。</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安全生产领导小组应每周组织一次安全检查，重点检查现场施工组织协调情况、安全生产费用投入及落实情况、危险作业管控情况等。大型项目，可分区域、分专业检查。检查应编制检查表，以保证检查效果，同时进行缺陷统计，用于对分包单位进行安全业绩考核。</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应每月组织一次覆盖所有在施项目的安全月检，检查应按《建筑施工安全检查评分标准》（JGJ59-2011）检查表或</w:t>
      </w:r>
      <w:r>
        <w:rPr>
          <w:rFonts w:hint="eastAsia" w:ascii="方正仿宋_GBK" w:hAnsi="方正仿宋_GBK" w:eastAsia="方正仿宋_GBK" w:cs="方正仿宋_GBK"/>
          <w:b/>
          <w:bCs/>
          <w:color w:val="auto"/>
          <w:sz w:val="28"/>
          <w:szCs w:val="28"/>
          <w:lang w:val="en-US" w:eastAsia="zh-CN"/>
        </w:rPr>
        <w:t>依据所属行业标准规范</w:t>
      </w:r>
      <w:r>
        <w:rPr>
          <w:rFonts w:hint="eastAsia" w:ascii="方正仿宋_GBK" w:hAnsi="方正仿宋_GBK" w:eastAsia="方正仿宋_GBK" w:cs="方正仿宋_GBK"/>
          <w:b/>
          <w:bCs/>
          <w:color w:val="auto"/>
          <w:sz w:val="28"/>
          <w:szCs w:val="28"/>
        </w:rPr>
        <w:t>自行编制检查表进行检查。</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公司每季度组织一次重点项目安全检查，抽查项目数不少于在施项目总数的50%。</w:t>
      </w:r>
    </w:p>
    <w:p>
      <w:pPr>
        <w:pStyle w:val="3"/>
        <w:spacing w:before="156" w:after="156"/>
        <w:rPr>
          <w:rFonts w:hint="eastAsia" w:ascii="方正楷体_GBK" w:hAnsi="方正楷体_GBK" w:eastAsia="方正楷体_GBK" w:cs="方正楷体_GBK"/>
          <w:b/>
          <w:bCs/>
          <w:color w:val="auto"/>
          <w:sz w:val="28"/>
          <w:szCs w:val="28"/>
        </w:rPr>
      </w:pPr>
      <w:bookmarkStart w:id="166" w:name="_Toc9213_WPSOffice_Level2"/>
      <w:bookmarkStart w:id="167" w:name="_Toc32567_WPSOffice_Level2"/>
      <w:r>
        <w:rPr>
          <w:rFonts w:hint="eastAsia" w:ascii="方正楷体_GBK" w:hAnsi="方正楷体_GBK" w:eastAsia="方正楷体_GBK" w:cs="方正楷体_GBK"/>
          <w:b/>
          <w:bCs/>
          <w:color w:val="auto"/>
          <w:sz w:val="28"/>
          <w:szCs w:val="28"/>
        </w:rPr>
        <w:t>专项检查</w:t>
      </w:r>
      <w:bookmarkEnd w:id="166"/>
      <w:bookmarkEnd w:id="167"/>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节日放假、北方地区冬歇及其他原因的停工，停工前</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应对现场停工准备做检查。停工/放假期间现场实行封闭管理。停工/放假5天及以上的，复工前</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应组织复工检查，复工检查重点确认施工用电、基坑支护、外架、大型机械设备、安全防护等是否符合安全生产条件，隐患排除、各分项检查负责人签字确认后方可复工。</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热带气旋、暴雨、暴雪、8级以上大风来袭前，</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应组织应对异常天气的检查；热带气旋、暴雨、暴雪、8级以上大风过后，</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应组织对现场进行有针对性的隐患排除检查，消除异常天气导致的破坏和事故隐患后方可复工。</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应根据季节变化和生产特点组织专项检查，如大型设备检查、深基坑检查、“三防”检查、消防检查、防暑降温检查、冬施检查等。</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对被安全生产投诉的</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应及时组织检查，消除隐患，改进管理。</w:t>
      </w:r>
    </w:p>
    <w:p>
      <w:pPr>
        <w:pStyle w:val="3"/>
        <w:spacing w:before="156" w:after="156"/>
        <w:rPr>
          <w:rFonts w:hint="eastAsia" w:ascii="方正楷体_GBK" w:hAnsi="方正楷体_GBK" w:eastAsia="方正楷体_GBK" w:cs="方正楷体_GBK"/>
          <w:b/>
          <w:bCs/>
          <w:color w:val="auto"/>
          <w:sz w:val="28"/>
          <w:szCs w:val="28"/>
        </w:rPr>
      </w:pPr>
      <w:bookmarkStart w:id="168" w:name="_Toc11902_WPSOffice_Level2"/>
      <w:bookmarkStart w:id="169" w:name="_Toc12143_WPSOffice_Level2"/>
      <w:r>
        <w:rPr>
          <w:rFonts w:hint="eastAsia" w:ascii="方正楷体_GBK" w:hAnsi="方正楷体_GBK" w:eastAsia="方正楷体_GBK" w:cs="方正楷体_GBK"/>
          <w:b/>
          <w:bCs/>
          <w:color w:val="auto"/>
          <w:sz w:val="28"/>
          <w:szCs w:val="28"/>
        </w:rPr>
        <w:t>领导带班检查</w:t>
      </w:r>
      <w:bookmarkEnd w:id="168"/>
      <w:bookmarkEnd w:id="169"/>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主要负责人、分管生产副总经理、总工程师执行领导带班检查制度，现场带班检查时间每月不少于工作日的25%。</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项目经理执行带班作业制度，每月带班作业时间不少于施工时间的80%。</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企业领导带班检查和项目经理带班作业应按规定重点检查安全生产条件、安全技术措施落实和施工组织协调管理等内容，排查事故隐患并现场解决相关问题。</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企业领导带班检查和项目经理带班作业应留下记录，企业领导带班检查记录一式两份，企业和项目各一份。</w:t>
      </w:r>
    </w:p>
    <w:p>
      <w:pPr>
        <w:pStyle w:val="3"/>
        <w:spacing w:before="156" w:after="156"/>
        <w:rPr>
          <w:rFonts w:hint="eastAsia" w:ascii="方正楷体_GBK" w:hAnsi="方正楷体_GBK" w:eastAsia="方正楷体_GBK" w:cs="方正楷体_GBK"/>
          <w:b/>
          <w:bCs/>
          <w:color w:val="auto"/>
          <w:sz w:val="28"/>
          <w:szCs w:val="28"/>
        </w:rPr>
      </w:pPr>
      <w:bookmarkStart w:id="170" w:name="_Toc1845_WPSOffice_Level2"/>
      <w:bookmarkStart w:id="171" w:name="_Toc15395_WPSOffice_Level2"/>
      <w:r>
        <w:rPr>
          <w:rFonts w:hint="eastAsia" w:ascii="方正楷体_GBK" w:hAnsi="方正楷体_GBK" w:eastAsia="方正楷体_GBK" w:cs="方正楷体_GBK"/>
          <w:b/>
          <w:bCs/>
          <w:color w:val="auto"/>
          <w:sz w:val="28"/>
          <w:szCs w:val="28"/>
        </w:rPr>
        <w:t>隐患处理</w:t>
      </w:r>
      <w:bookmarkEnd w:id="170"/>
      <w:bookmarkEnd w:id="171"/>
    </w:p>
    <w:p>
      <w:pPr>
        <w:pStyle w:val="4"/>
        <w:spacing w:before="156" w:after="156"/>
        <w:ind w:left="992" w:hanging="992"/>
        <w:rPr>
          <w:rFonts w:hint="eastAsia" w:ascii="方正仿宋_GBK" w:hAnsi="方正仿宋_GBK" w:eastAsia="方正仿宋_GBK" w:cs="方正仿宋_GBK"/>
          <w:b/>
          <w:bCs/>
          <w:color w:val="auto"/>
          <w:sz w:val="28"/>
          <w:szCs w:val="28"/>
        </w:rPr>
      </w:pPr>
      <w:bookmarkStart w:id="172" w:name="_Toc125866558"/>
      <w:r>
        <w:rPr>
          <w:rFonts w:hint="eastAsia" w:ascii="方正仿宋_GBK" w:hAnsi="方正仿宋_GBK" w:eastAsia="方正仿宋_GBK" w:cs="方正仿宋_GBK"/>
          <w:b/>
          <w:bCs/>
          <w:color w:val="auto"/>
          <w:sz w:val="28"/>
          <w:szCs w:val="28"/>
        </w:rPr>
        <w:t>一般事故隐患</w:t>
      </w:r>
      <w:bookmarkEnd w:id="172"/>
      <w:r>
        <w:rPr>
          <w:rFonts w:hint="eastAsia" w:ascii="方正仿宋_GBK" w:hAnsi="方正仿宋_GBK" w:eastAsia="方正仿宋_GBK" w:cs="方正仿宋_GBK"/>
          <w:b/>
          <w:bCs/>
          <w:color w:val="auto"/>
          <w:sz w:val="28"/>
          <w:szCs w:val="28"/>
        </w:rPr>
        <w:t>，检查人当场纠正处置。重大隐患，检查人向责任单位或责任人发书面安全整改单，按“五定”原则（定责任人、定时限、定资金、定措施、定预案）落实整改。</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安全生产监督管理部门应及时总结安全检查工作，开展隐患统计分析，并制定改进措施，以实现持续改进。</w:t>
      </w:r>
    </w:p>
    <w:p>
      <w:pPr>
        <w:pStyle w:val="3"/>
        <w:spacing w:before="156" w:after="156"/>
        <w:rPr>
          <w:rFonts w:hint="eastAsia" w:ascii="方正楷体_GBK" w:hAnsi="方正楷体_GBK" w:eastAsia="方正楷体_GBK" w:cs="方正楷体_GBK"/>
          <w:b/>
          <w:bCs/>
          <w:color w:val="auto"/>
          <w:sz w:val="28"/>
          <w:szCs w:val="28"/>
        </w:rPr>
      </w:pPr>
      <w:bookmarkStart w:id="173" w:name="_Toc31901_WPSOffice_Level2"/>
      <w:bookmarkStart w:id="174" w:name="_Toc4962_WPSOffice_Level2"/>
      <w:r>
        <w:rPr>
          <w:rFonts w:hint="eastAsia" w:ascii="方正楷体_GBK" w:hAnsi="方正楷体_GBK" w:eastAsia="方正楷体_GBK" w:cs="方正楷体_GBK"/>
          <w:b/>
          <w:bCs/>
          <w:color w:val="auto"/>
          <w:sz w:val="28"/>
          <w:szCs w:val="28"/>
        </w:rPr>
        <w:t>检查记录</w:t>
      </w:r>
      <w:bookmarkEnd w:id="173"/>
      <w:bookmarkEnd w:id="174"/>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和</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均应建立事故隐患排查台账，各类安全检查均应留下检查记录（检查时间、人员、类别、内容、隐患记录及整改回复等）。</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评价性检查应发检查通报，依据相关规定落实奖惩。</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检查记录和领导带班记录在安全生产监督管理部门留存。</w:t>
      </w:r>
    </w:p>
    <w:p>
      <w:pPr>
        <w:pStyle w:val="2"/>
        <w:spacing w:before="156" w:after="156"/>
        <w:rPr>
          <w:rFonts w:hint="eastAsia" w:ascii="方正黑体_GBK" w:hAnsi="方正黑体_GBK" w:eastAsia="方正黑体_GBK" w:cs="方正黑体_GBK"/>
          <w:b/>
          <w:bCs/>
          <w:color w:val="auto"/>
          <w:sz w:val="28"/>
          <w:szCs w:val="28"/>
        </w:rPr>
      </w:pPr>
      <w:bookmarkStart w:id="175" w:name="_Toc30221_WPSOffice_Level1"/>
      <w:bookmarkStart w:id="176" w:name="_Toc365276317"/>
      <w:r>
        <w:rPr>
          <w:rFonts w:hint="eastAsia" w:ascii="方正黑体_GBK" w:hAnsi="方正黑体_GBK" w:eastAsia="方正黑体_GBK" w:cs="方正黑体_GBK"/>
          <w:b/>
          <w:bCs/>
          <w:color w:val="auto"/>
          <w:sz w:val="28"/>
          <w:szCs w:val="28"/>
        </w:rPr>
        <w:t>分包安全管理</w:t>
      </w:r>
      <w:bookmarkEnd w:id="175"/>
      <w:bookmarkEnd w:id="176"/>
    </w:p>
    <w:p>
      <w:pPr>
        <w:pStyle w:val="3"/>
        <w:spacing w:before="156" w:after="156"/>
        <w:rPr>
          <w:rFonts w:hint="eastAsia" w:ascii="方正楷体_GBK" w:hAnsi="方正楷体_GBK" w:eastAsia="方正楷体_GBK" w:cs="方正楷体_GBK"/>
          <w:b/>
          <w:bCs/>
          <w:color w:val="auto"/>
          <w:sz w:val="28"/>
          <w:szCs w:val="28"/>
        </w:rPr>
      </w:pPr>
      <w:bookmarkStart w:id="177" w:name="_Toc3600_WPSOffice_Level2"/>
      <w:bookmarkStart w:id="178" w:name="_Toc27744_WPSOffice_Level2"/>
      <w:r>
        <w:rPr>
          <w:rFonts w:hint="eastAsia" w:ascii="方正楷体_GBK" w:hAnsi="方正楷体_GBK" w:eastAsia="方正楷体_GBK" w:cs="方正楷体_GBK"/>
          <w:b/>
          <w:bCs/>
          <w:color w:val="auto"/>
          <w:sz w:val="28"/>
          <w:szCs w:val="28"/>
        </w:rPr>
        <w:t>分包资质</w:t>
      </w:r>
      <w:bookmarkEnd w:id="177"/>
      <w:bookmarkEnd w:id="178"/>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各级企业应建立合格分包商名录并在合格分包商名录内选择分包商。</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分包商必须持有有效安全生产许可证和与其所承包工程相符的施工资质。</w:t>
      </w:r>
    </w:p>
    <w:p>
      <w:pPr>
        <w:pStyle w:val="3"/>
        <w:spacing w:before="156" w:after="156"/>
        <w:rPr>
          <w:rFonts w:hint="eastAsia" w:ascii="方正楷体_GBK" w:hAnsi="方正楷体_GBK" w:eastAsia="方正楷体_GBK" w:cs="方正楷体_GBK"/>
          <w:b/>
          <w:bCs/>
          <w:color w:val="auto"/>
          <w:sz w:val="28"/>
          <w:szCs w:val="28"/>
        </w:rPr>
      </w:pPr>
      <w:bookmarkStart w:id="179" w:name="_Toc6833_WPSOffice_Level2"/>
      <w:bookmarkStart w:id="180" w:name="_Toc22991_WPSOffice_Level2"/>
      <w:r>
        <w:rPr>
          <w:rFonts w:hint="eastAsia" w:ascii="方正楷体_GBK" w:hAnsi="方正楷体_GBK" w:eastAsia="方正楷体_GBK" w:cs="方正楷体_GBK"/>
          <w:b/>
          <w:bCs/>
          <w:color w:val="auto"/>
          <w:sz w:val="28"/>
          <w:szCs w:val="28"/>
        </w:rPr>
        <w:t>安全协议</w:t>
      </w:r>
      <w:bookmarkEnd w:id="179"/>
      <w:bookmarkEnd w:id="180"/>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与分包单位签订施工合同的同时应签订“安全协议”，安全协议须明确双方安全管理责任界定、事故责任追究、分包安全业绩指标及考核办法等。</w:t>
      </w:r>
    </w:p>
    <w:p>
      <w:pPr>
        <w:pStyle w:val="3"/>
        <w:spacing w:before="156" w:after="156"/>
        <w:ind w:left="578" w:hanging="578"/>
        <w:rPr>
          <w:rFonts w:hint="eastAsia" w:ascii="方正楷体_GBK" w:hAnsi="方正楷体_GBK" w:eastAsia="方正楷体_GBK" w:cs="方正楷体_GBK"/>
          <w:b/>
          <w:bCs/>
          <w:color w:val="auto"/>
          <w:sz w:val="28"/>
          <w:szCs w:val="28"/>
        </w:rPr>
      </w:pPr>
      <w:bookmarkStart w:id="181" w:name="_Toc14056_WPSOffice_Level2"/>
      <w:bookmarkStart w:id="182" w:name="_Toc9061_WPSOffice_Level2"/>
      <w:r>
        <w:rPr>
          <w:rFonts w:hint="eastAsia" w:ascii="方正楷体_GBK" w:hAnsi="方正楷体_GBK" w:eastAsia="方正楷体_GBK" w:cs="方正楷体_GBK"/>
          <w:b/>
          <w:bCs/>
          <w:color w:val="auto"/>
          <w:sz w:val="28"/>
          <w:szCs w:val="28"/>
        </w:rPr>
        <w:t>过程管理</w:t>
      </w:r>
      <w:bookmarkEnd w:id="181"/>
      <w:bookmarkEnd w:id="182"/>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分包单位入场，应组织对其进行入场安全交底，交底内容包括安全管理规章制度、安全协议、双方安全管理接口人及联系方式等，交底应留下书面记录。</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施工过程中，分包单位应服从协调管理，执行安全协议约定的规章制度，并接受安全监督。</w:t>
      </w:r>
    </w:p>
    <w:p>
      <w:pPr>
        <w:pStyle w:val="3"/>
        <w:spacing w:before="156" w:after="156"/>
        <w:rPr>
          <w:rFonts w:hint="eastAsia" w:ascii="方正楷体_GBK" w:hAnsi="方正楷体_GBK" w:eastAsia="方正楷体_GBK" w:cs="方正楷体_GBK"/>
          <w:b/>
          <w:bCs/>
          <w:color w:val="auto"/>
          <w:sz w:val="28"/>
          <w:szCs w:val="28"/>
        </w:rPr>
      </w:pPr>
      <w:bookmarkStart w:id="183" w:name="_Toc17297_WPSOffice_Level2"/>
      <w:bookmarkStart w:id="184" w:name="_Toc26884_WPSOffice_Level2"/>
      <w:r>
        <w:rPr>
          <w:rFonts w:hint="eastAsia" w:ascii="方正楷体_GBK" w:hAnsi="方正楷体_GBK" w:eastAsia="方正楷体_GBK" w:cs="方正楷体_GBK"/>
          <w:b/>
          <w:bCs/>
          <w:color w:val="auto"/>
          <w:sz w:val="28"/>
          <w:szCs w:val="28"/>
        </w:rPr>
        <w:t>分包安全业绩考核</w:t>
      </w:r>
      <w:bookmarkEnd w:id="183"/>
      <w:bookmarkEnd w:id="184"/>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负责为分包建立安全业绩档案，记录分包单位安全基础工作绩效和事故绩效，并每月量化评分。</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负责按照分包安全协议每月对分包进行安全业绩考核，依据安全协议兑现奖惩，发生安全事故的，依据协议对分包实施责任追究，激励分包商改进安全管理。</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应每月将分包安全业绩考核结果报公司备案，公司安全生产监督管理部门汇总形成公司级分包安全业绩档案。</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应优先选择安全业绩优良的分包单位，对安全业绩差且无改进意愿和迹象的分包商实行市场准入限制。</w:t>
      </w:r>
    </w:p>
    <w:p>
      <w:pPr>
        <w:pStyle w:val="2"/>
        <w:spacing w:before="156" w:after="156"/>
        <w:rPr>
          <w:rFonts w:hint="eastAsia" w:ascii="方正黑体_GBK" w:hAnsi="方正黑体_GBK" w:eastAsia="方正黑体_GBK" w:cs="方正黑体_GBK"/>
          <w:b/>
          <w:bCs/>
          <w:color w:val="auto"/>
          <w:sz w:val="28"/>
          <w:szCs w:val="28"/>
        </w:rPr>
      </w:pPr>
      <w:bookmarkStart w:id="185" w:name="_Toc365276320"/>
      <w:bookmarkStart w:id="186" w:name="_Toc26889_WPSOffice_Level1"/>
      <w:r>
        <w:rPr>
          <w:rFonts w:hint="eastAsia" w:ascii="方正黑体_GBK" w:hAnsi="方正黑体_GBK" w:eastAsia="方正黑体_GBK" w:cs="方正黑体_GBK"/>
          <w:b/>
          <w:bCs/>
          <w:color w:val="auto"/>
          <w:sz w:val="28"/>
          <w:szCs w:val="28"/>
        </w:rPr>
        <w:t>特种设备安全管理</w:t>
      </w:r>
      <w:bookmarkEnd w:id="185"/>
      <w:bookmarkEnd w:id="186"/>
    </w:p>
    <w:p>
      <w:pPr>
        <w:pStyle w:val="3"/>
        <w:spacing w:before="156" w:after="156"/>
        <w:rPr>
          <w:rFonts w:hint="eastAsia" w:ascii="方正楷体_GBK" w:hAnsi="方正楷体_GBK" w:eastAsia="方正楷体_GBK" w:cs="方正楷体_GBK"/>
          <w:b/>
          <w:bCs/>
          <w:color w:val="auto"/>
          <w:sz w:val="28"/>
          <w:szCs w:val="28"/>
        </w:rPr>
      </w:pPr>
      <w:bookmarkStart w:id="187" w:name="_Toc26852_WPSOffice_Level2"/>
      <w:bookmarkStart w:id="188" w:name="_Toc17133_WPSOffice_Level2"/>
      <w:r>
        <w:rPr>
          <w:rFonts w:hint="eastAsia" w:ascii="方正楷体_GBK" w:hAnsi="方正楷体_GBK" w:eastAsia="方正楷体_GBK" w:cs="方正楷体_GBK"/>
          <w:b/>
          <w:bCs/>
          <w:color w:val="auto"/>
          <w:sz w:val="28"/>
          <w:szCs w:val="28"/>
        </w:rPr>
        <w:t>一般要求</w:t>
      </w:r>
      <w:bookmarkEnd w:id="187"/>
      <w:bookmarkEnd w:id="188"/>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建筑施工常用特种设备包括：</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1）起重机械：塔式起重机，流动式起重机（轮胎起重机，履带起重机，汽车起重机，随车起重机），门式起重机，桥式起重机，升降机（施工升降机，简易升降机，升降作业平台，高空作业车），桅杆起重机，轻小型起重设备（电动葫芦）等。</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2）场（厂）内专用机动工业车辆：叉车，搬运车等。</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3）压力容器（气瓶）：氧气瓶，溶解乙炔气瓶，惰性气体气瓶，液化石油气钢瓶等。</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4）安全附件及安全保护装置：安全阀，紧急切断阀，气瓶瓶阀，气瓶减压阀，限速器，起重机械起重量限制器，起重机械起重力矩限制器，起重机械起升高度限制器，起重机械防坠安全器，起重机械制动器等。</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和</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应明确特种设备归口管理部门，起重机械在3台以上的</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，至少配备1名专职机械设备管理员。</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购置或租赁的特种设备和配件，必须是经过国家有关部门许可生产的合格产品，并配备齐全有效的保险、限位等安全设施和装置。特种设备有下列情形之一的，不得购置、租赁、使用：</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1）属国家明令淘汰或者禁止使用的；</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2）超过安全技术标准或者制造厂家规定的使用年限的；</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3）经检验达不到安全技术标准规定的；</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4）没有完整安全技术档案的；</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5）没有齐全有效的安全保护装置的。</w:t>
      </w:r>
    </w:p>
    <w:p>
      <w:pPr>
        <w:pStyle w:val="3"/>
        <w:spacing w:before="156" w:after="156"/>
        <w:rPr>
          <w:rFonts w:hint="eastAsia" w:ascii="方正楷体_GBK" w:hAnsi="方正楷体_GBK" w:eastAsia="方正楷体_GBK" w:cs="方正楷体_GBK"/>
          <w:b/>
          <w:bCs/>
          <w:color w:val="auto"/>
          <w:sz w:val="28"/>
          <w:szCs w:val="28"/>
        </w:rPr>
      </w:pPr>
      <w:bookmarkStart w:id="189" w:name="_Toc26427_WPSOffice_Level2"/>
      <w:bookmarkStart w:id="190" w:name="_Toc24895_WPSOffice_Level2"/>
      <w:r>
        <w:rPr>
          <w:rFonts w:hint="eastAsia" w:ascii="方正楷体_GBK" w:hAnsi="方正楷体_GBK" w:eastAsia="方正楷体_GBK" w:cs="方正楷体_GBK"/>
          <w:b/>
          <w:bCs/>
          <w:color w:val="auto"/>
          <w:sz w:val="28"/>
          <w:szCs w:val="28"/>
        </w:rPr>
        <w:t>安装、拆除及使用安全管理</w:t>
      </w:r>
      <w:bookmarkEnd w:id="189"/>
      <w:bookmarkEnd w:id="190"/>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租赁特种设备时，应查验租赁单位企业法人营业执照、特种设备注册登记证、特种设备及配件的安全性能检测合格证明等资料，并与租赁单位签订租赁合同，明确双方安全责任、管理要求和事故责任追究规定。</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特种设备安装和拆除，必须委托给有相应资质和有效安全生产许可证的单位施工，并与其签订安全协议，明确双方安全责任界定、管理要求及事故责任追究规定。</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特种设备安拆单位应根据现场条件编制安装专项施工方案和拆除专项施工方案，专项方案经安拆单位技术负责人审批并加盖单位公章后报</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审核，</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评审并经监理单位审核后方可实施。</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特种设备安拆人员需持有效操作证上岗，安装、拆除前，安拆单位专业技术人员进行书面安全技术交底，</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机械管理人员和安全员参与并督导交底。</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特种设备安装完成后，安装单位首先进行自检，自检合格后委托具有相应资质的检验检测机构现场检测，检测合格后，</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组织租赁单位、安装单位、监理单位进行四方联合验收，验收合格后方可投入使用。特种设备安装验收合格之日起30日内，须向当地建设行政主管部门办理使用登记。</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必须组织专业技术人员到现场参与并指导</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第1台塔式起重机、施工升降机或物料提升机的安装验收工作，验收合格后方能投入使用。</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塔式起重机、施工升降机和物料提升机的附着和顶升，应委托原安装单位或具有相应资质的安装单位按照专项施工方案实施。附着和顶升后须经验收方可投入使用。</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特种设备安拆、附着、顶升、移位等作业过程中，安装单位专业技术人员到操作点指挥，</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机械管理人员和专职安全员现场指导，旁站监督。安拆过程严格按照方案施工，严禁擅自改变方案。</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特种设备操作人员须按规定持有效特种作业人员操作证上岗，上岗前应组织培训和安全技术交底。</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特种设备使用过程中，应按说明书和规范要求，定期进行维护保养和检修。发生故障应及时维修，不得带病运转。</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特种设备及其附件、安全装置等安全检验有效期届满，应提前一个月报请特种设备检验检测机构检验，未经定期检验或者检验不合格的特种设备，不得继续使用。</w:t>
      </w:r>
    </w:p>
    <w:p>
      <w:pPr>
        <w:pStyle w:val="3"/>
        <w:spacing w:before="156" w:after="156"/>
        <w:rPr>
          <w:rFonts w:hint="eastAsia" w:ascii="方正楷体_GBK" w:hAnsi="方正楷体_GBK" w:eastAsia="方正楷体_GBK" w:cs="方正楷体_GBK"/>
          <w:b/>
          <w:bCs/>
          <w:color w:val="auto"/>
          <w:sz w:val="28"/>
          <w:szCs w:val="28"/>
        </w:rPr>
      </w:pPr>
      <w:bookmarkStart w:id="191" w:name="_Toc19396_WPSOffice_Level2"/>
      <w:bookmarkStart w:id="192" w:name="_Toc25030_WPSOffice_Level2"/>
      <w:r>
        <w:rPr>
          <w:rFonts w:hint="eastAsia" w:ascii="方正楷体_GBK" w:hAnsi="方正楷体_GBK" w:eastAsia="方正楷体_GBK" w:cs="方正楷体_GBK"/>
          <w:b/>
          <w:bCs/>
          <w:color w:val="auto"/>
          <w:sz w:val="28"/>
          <w:szCs w:val="28"/>
        </w:rPr>
        <w:t>特种设备档案</w:t>
      </w:r>
      <w:bookmarkEnd w:id="191"/>
      <w:bookmarkEnd w:id="192"/>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应建立特种设备安全技术资料档案。安全技术资料档案应包括以下内容：</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1）产品合格证明、使用维护说明书等文件；</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2）安装方案、检测与验收等资料；</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3）定期检验、检查及日常使用状况记录；</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4）特种设备及其安全附件、安全保护装置、测量调控装置及有关附属仪器仪表的日常维护保养记录；</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5）故障维修和事故记录。</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应按要求统计并每月逐级上报特种设备相关信息，各级企业应分别建立特种设备台账，以便规范管理。</w:t>
      </w:r>
    </w:p>
    <w:p>
      <w:pPr>
        <w:pStyle w:val="2"/>
        <w:spacing w:before="156" w:after="156"/>
        <w:rPr>
          <w:rFonts w:hint="eastAsia" w:ascii="方正黑体_GBK" w:hAnsi="方正黑体_GBK" w:eastAsia="方正黑体_GBK" w:cs="方正黑体_GBK"/>
          <w:b/>
          <w:bCs/>
          <w:color w:val="auto"/>
          <w:sz w:val="28"/>
          <w:szCs w:val="28"/>
        </w:rPr>
      </w:pPr>
      <w:bookmarkStart w:id="193" w:name="_Toc2845_WPSOffice_Level1"/>
      <w:bookmarkStart w:id="194" w:name="_Toc365276319"/>
      <w:bookmarkStart w:id="195" w:name="_Toc365276321"/>
      <w:r>
        <w:rPr>
          <w:rFonts w:hint="eastAsia" w:ascii="方正黑体_GBK" w:hAnsi="方正黑体_GBK" w:eastAsia="方正黑体_GBK" w:cs="方正黑体_GBK"/>
          <w:b/>
          <w:bCs/>
          <w:color w:val="auto"/>
          <w:sz w:val="28"/>
          <w:szCs w:val="28"/>
        </w:rPr>
        <w:t>劳动防护用品管理</w:t>
      </w:r>
      <w:bookmarkEnd w:id="193"/>
    </w:p>
    <w:p>
      <w:pPr>
        <w:pStyle w:val="3"/>
        <w:spacing w:before="156" w:after="156"/>
        <w:rPr>
          <w:rFonts w:hint="eastAsia" w:ascii="方正楷体_GBK" w:hAnsi="方正楷体_GBK" w:eastAsia="方正楷体_GBK" w:cs="方正楷体_GBK"/>
          <w:b/>
          <w:bCs/>
          <w:color w:val="auto"/>
          <w:sz w:val="28"/>
          <w:szCs w:val="28"/>
        </w:rPr>
      </w:pPr>
      <w:bookmarkStart w:id="196" w:name="_Toc801_WPSOffice_Level2"/>
      <w:bookmarkStart w:id="197" w:name="_Toc11189_WPSOffice_Level2"/>
      <w:r>
        <w:rPr>
          <w:rFonts w:hint="eastAsia" w:ascii="方正楷体_GBK" w:hAnsi="方正楷体_GBK" w:eastAsia="方正楷体_GBK" w:cs="方正楷体_GBK"/>
          <w:b/>
          <w:bCs/>
          <w:color w:val="auto"/>
          <w:sz w:val="28"/>
          <w:szCs w:val="28"/>
        </w:rPr>
        <w:t>定义与分类</w:t>
      </w:r>
      <w:bookmarkEnd w:id="196"/>
      <w:bookmarkEnd w:id="197"/>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劳动防护用品是指由生产经营单位为从业人员配备的，使其在劳动过程中免遭或者减轻事故伤害及职业危害的个人防护装备。劳动防护用品分为一般劳动防护用品和特种劳动防护用品。本制度特种劳动防护用品主要指安全帽、安全带、安全网。</w:t>
      </w:r>
    </w:p>
    <w:p>
      <w:pPr>
        <w:pStyle w:val="3"/>
        <w:spacing w:before="156" w:after="156"/>
        <w:rPr>
          <w:rFonts w:hint="eastAsia" w:ascii="方正楷体_GBK" w:hAnsi="方正楷体_GBK" w:eastAsia="方正楷体_GBK" w:cs="方正楷体_GBK"/>
          <w:b/>
          <w:bCs/>
          <w:color w:val="auto"/>
          <w:sz w:val="28"/>
          <w:szCs w:val="28"/>
        </w:rPr>
      </w:pPr>
      <w:bookmarkStart w:id="198" w:name="_Toc22279_WPSOffice_Level2"/>
      <w:bookmarkStart w:id="199" w:name="_Toc7574_WPSOffice_Level2"/>
      <w:r>
        <w:rPr>
          <w:rFonts w:hint="eastAsia" w:ascii="方正楷体_GBK" w:hAnsi="方正楷体_GBK" w:eastAsia="方正楷体_GBK" w:cs="方正楷体_GBK"/>
          <w:b/>
          <w:bCs/>
          <w:color w:val="auto"/>
          <w:sz w:val="28"/>
          <w:szCs w:val="28"/>
        </w:rPr>
        <w:t>劳动防护用品的采购与验收</w:t>
      </w:r>
      <w:bookmarkEnd w:id="198"/>
      <w:bookmarkEnd w:id="199"/>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公司通过集采平台建立劳动防护用品合格供应商名录，公司、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采购劳动防护用品必须选购合格供应商，并查验产品合格证，特种劳动防护用品必须具有特种劳动防护用品安全标志。</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特种劳动防护用品由</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统一采购或主导采购，不得放任劳务分包自主采购。</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采购人对采购进场的劳动防护用品的质量负责，并建立采购台账。</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安全生产监督管理部门应对采购或调拨进场的劳动防护用品进行验收，外观检查并查验质量合格证明和质量检验报告，根据需要抽样复试。未验收或验收不合格的劳动防护用品，不得发放使用。</w:t>
      </w:r>
    </w:p>
    <w:p>
      <w:pPr>
        <w:pStyle w:val="3"/>
        <w:spacing w:before="156" w:after="156"/>
        <w:rPr>
          <w:rFonts w:hint="eastAsia" w:ascii="方正楷体_GBK" w:hAnsi="方正楷体_GBK" w:eastAsia="方正楷体_GBK" w:cs="方正楷体_GBK"/>
          <w:b/>
          <w:bCs/>
          <w:color w:val="auto"/>
          <w:sz w:val="28"/>
          <w:szCs w:val="28"/>
        </w:rPr>
      </w:pPr>
      <w:bookmarkStart w:id="200" w:name="_Toc12962_WPSOffice_Level2"/>
      <w:bookmarkStart w:id="201" w:name="_Toc580_WPSOffice_Level2"/>
      <w:r>
        <w:rPr>
          <w:rFonts w:hint="eastAsia" w:ascii="方正楷体_GBK" w:hAnsi="方正楷体_GBK" w:eastAsia="方正楷体_GBK" w:cs="方正楷体_GBK"/>
          <w:b/>
          <w:bCs/>
          <w:color w:val="auto"/>
          <w:sz w:val="28"/>
          <w:szCs w:val="28"/>
        </w:rPr>
        <w:t>劳动防护用品的发放</w:t>
      </w:r>
      <w:bookmarkEnd w:id="200"/>
      <w:bookmarkEnd w:id="201"/>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应按规定为从业人员配发劳动防护用品，不得以货币或其他物品替代。</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应建立劳动防护用品发放台账，台账内容应包括品名、型号、生产厂家、生产日期、发放日期等内容。劳动防护用品领用人应在发放台账上签字确认。</w:t>
      </w:r>
    </w:p>
    <w:p>
      <w:pPr>
        <w:pStyle w:val="3"/>
        <w:spacing w:before="156" w:after="156"/>
        <w:rPr>
          <w:rFonts w:hint="eastAsia" w:ascii="方正楷体_GBK" w:hAnsi="方正楷体_GBK" w:eastAsia="方正楷体_GBK" w:cs="方正楷体_GBK"/>
          <w:b/>
          <w:bCs/>
          <w:color w:val="auto"/>
          <w:sz w:val="28"/>
          <w:szCs w:val="28"/>
        </w:rPr>
      </w:pPr>
      <w:bookmarkStart w:id="202" w:name="_Toc23640_WPSOffice_Level2"/>
      <w:bookmarkStart w:id="203" w:name="_Toc5882_WPSOffice_Level2"/>
      <w:r>
        <w:rPr>
          <w:rFonts w:hint="eastAsia" w:ascii="方正楷体_GBK" w:hAnsi="方正楷体_GBK" w:eastAsia="方正楷体_GBK" w:cs="方正楷体_GBK"/>
          <w:b/>
          <w:bCs/>
          <w:color w:val="auto"/>
          <w:sz w:val="28"/>
          <w:szCs w:val="28"/>
        </w:rPr>
        <w:t>劳动防护用品的使用</w:t>
      </w:r>
      <w:bookmarkEnd w:id="202"/>
      <w:bookmarkEnd w:id="203"/>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应培训工人正确佩戴和使用劳动防护用品，做到“三会”：会检查劳动防护用品的可靠性；会正确使用劳动防护用品；会正确维护保养劳动防护用品。</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生产过程中，从业人员必须按照安全生产规章制度和劳动防护用品使用规则，正确佩戴和使用劳动防护用品；未按规定佩戴和使用劳动防护用品的，不得上岗作业。</w:t>
      </w:r>
    </w:p>
    <w:p>
      <w:pPr>
        <w:pStyle w:val="3"/>
        <w:spacing w:before="156" w:after="156"/>
        <w:rPr>
          <w:rFonts w:hint="eastAsia" w:ascii="方正楷体_GBK" w:hAnsi="方正楷体_GBK" w:eastAsia="方正楷体_GBK" w:cs="方正楷体_GBK"/>
          <w:b/>
          <w:bCs/>
          <w:color w:val="auto"/>
          <w:sz w:val="28"/>
          <w:szCs w:val="28"/>
        </w:rPr>
      </w:pPr>
      <w:bookmarkStart w:id="204" w:name="_Toc8786_WPSOffice_Level2"/>
      <w:bookmarkStart w:id="205" w:name="_Toc31629_WPSOffice_Level2"/>
      <w:r>
        <w:rPr>
          <w:rFonts w:hint="eastAsia" w:ascii="方正楷体_GBK" w:hAnsi="方正楷体_GBK" w:eastAsia="方正楷体_GBK" w:cs="方正楷体_GBK"/>
          <w:b/>
          <w:bCs/>
          <w:color w:val="auto"/>
          <w:sz w:val="28"/>
          <w:szCs w:val="28"/>
        </w:rPr>
        <w:t>劳动防护用品的更换与报废</w:t>
      </w:r>
      <w:bookmarkEnd w:id="204"/>
      <w:bookmarkEnd w:id="205"/>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使用过程中，劳动防护用品破损达到报废标准的，应及时更换。</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特种劳动防护用品应在说明书有效期限内使用，到期的一律报废并更换，原则上不得超期使用，特殊情况要延期使用的需经检测检验机构抽查测试。</w:t>
      </w:r>
    </w:p>
    <w:p>
      <w:pPr>
        <w:pStyle w:val="2"/>
        <w:spacing w:before="156" w:after="156"/>
        <w:rPr>
          <w:rFonts w:hint="eastAsia" w:ascii="方正黑体_GBK" w:hAnsi="方正黑体_GBK" w:eastAsia="方正黑体_GBK" w:cs="方正黑体_GBK"/>
          <w:b/>
          <w:bCs/>
          <w:color w:val="auto"/>
          <w:sz w:val="28"/>
          <w:szCs w:val="28"/>
        </w:rPr>
      </w:pPr>
      <w:bookmarkStart w:id="206" w:name="_Toc31482_WPSOffice_Level1"/>
      <w:r>
        <w:rPr>
          <w:rFonts w:hint="eastAsia" w:ascii="方正黑体_GBK" w:hAnsi="方正黑体_GBK" w:eastAsia="方正黑体_GBK" w:cs="方正黑体_GBK"/>
          <w:b/>
          <w:bCs/>
          <w:color w:val="auto"/>
          <w:sz w:val="28"/>
          <w:szCs w:val="28"/>
        </w:rPr>
        <w:t>职业病防治</w:t>
      </w:r>
      <w:bookmarkEnd w:id="194"/>
      <w:bookmarkEnd w:id="206"/>
    </w:p>
    <w:p>
      <w:pPr>
        <w:pStyle w:val="3"/>
        <w:spacing w:before="156" w:after="156"/>
        <w:rPr>
          <w:rFonts w:hint="eastAsia" w:ascii="方正楷体_GBK" w:hAnsi="方正楷体_GBK" w:eastAsia="方正楷体_GBK" w:cs="方正楷体_GBK"/>
          <w:b/>
          <w:bCs/>
          <w:color w:val="auto"/>
          <w:sz w:val="28"/>
          <w:szCs w:val="28"/>
        </w:rPr>
      </w:pPr>
      <w:bookmarkStart w:id="207" w:name="_Toc23806_WPSOffice_Level2"/>
      <w:bookmarkStart w:id="208" w:name="_Toc25825_WPSOffice_Level2"/>
      <w:r>
        <w:rPr>
          <w:rFonts w:hint="eastAsia" w:ascii="方正楷体_GBK" w:hAnsi="方正楷体_GBK" w:eastAsia="方正楷体_GBK" w:cs="方正楷体_GBK"/>
          <w:b/>
          <w:bCs/>
          <w:color w:val="auto"/>
          <w:sz w:val="28"/>
          <w:szCs w:val="28"/>
        </w:rPr>
        <w:t>职业危害因素识别</w:t>
      </w:r>
      <w:bookmarkEnd w:id="207"/>
      <w:bookmarkEnd w:id="208"/>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职业病危害因素主要有粉尘（矽尘、水泥尘、电焊尘、石棉尘等）、噪声（机械性噪声、空</w:t>
      </w:r>
      <w:r>
        <w:rPr>
          <w:rFonts w:hint="eastAsia" w:ascii="方正仿宋_GBK" w:hAnsi="方正仿宋_GBK" w:eastAsia="方正仿宋_GBK" w:cs="方正仿宋_GBK"/>
          <w:b/>
          <w:bCs/>
          <w:color w:val="auto"/>
          <w:sz w:val="28"/>
          <w:szCs w:val="28"/>
        </w:rPr>
        <w:fldChar w:fldCharType="begin"/>
      </w:r>
      <w:r>
        <w:rPr>
          <w:rFonts w:hint="eastAsia" w:ascii="方正仿宋_GBK" w:hAnsi="方正仿宋_GBK" w:eastAsia="方正仿宋_GBK" w:cs="方正仿宋_GBK"/>
          <w:b/>
          <w:bCs/>
          <w:color w:val="auto"/>
          <w:sz w:val="28"/>
          <w:szCs w:val="28"/>
        </w:rPr>
        <w:instrText xml:space="preserve"> HYPERLINK "http://baozhuang.28xl.com/list-5-1.htm" \t "_blank" </w:instrText>
      </w:r>
      <w:r>
        <w:rPr>
          <w:rFonts w:hint="eastAsia" w:ascii="方正仿宋_GBK" w:hAnsi="方正仿宋_GBK" w:eastAsia="方正仿宋_GBK" w:cs="方正仿宋_GBK"/>
          <w:b/>
          <w:bCs/>
          <w:color w:val="auto"/>
          <w:sz w:val="28"/>
          <w:szCs w:val="28"/>
        </w:rPr>
        <w:fldChar w:fldCharType="separate"/>
      </w:r>
      <w:r>
        <w:rPr>
          <w:rFonts w:hint="eastAsia" w:ascii="方正仿宋_GBK" w:hAnsi="方正仿宋_GBK" w:eastAsia="方正仿宋_GBK" w:cs="方正仿宋_GBK"/>
          <w:b/>
          <w:bCs/>
          <w:color w:val="auto"/>
          <w:sz w:val="28"/>
          <w:szCs w:val="28"/>
        </w:rPr>
        <w:t>气动</w:t>
      </w:r>
      <w:r>
        <w:rPr>
          <w:rFonts w:hint="eastAsia" w:ascii="方正仿宋_GBK" w:hAnsi="方正仿宋_GBK" w:eastAsia="方正仿宋_GBK" w:cs="方正仿宋_GBK"/>
          <w:b/>
          <w:bCs/>
          <w:color w:val="auto"/>
          <w:sz w:val="28"/>
          <w:szCs w:val="28"/>
        </w:rPr>
        <w:fldChar w:fldCharType="end"/>
      </w:r>
      <w:r>
        <w:rPr>
          <w:rFonts w:hint="eastAsia" w:ascii="方正仿宋_GBK" w:hAnsi="方正仿宋_GBK" w:eastAsia="方正仿宋_GBK" w:cs="方正仿宋_GBK"/>
          <w:b/>
          <w:bCs/>
          <w:color w:val="auto"/>
          <w:sz w:val="28"/>
          <w:szCs w:val="28"/>
        </w:rPr>
        <w:t>力性噪声）、高温、振动、辐射、化学毒物等。</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安全策划，在进行风险分析时，应同时进行职业危害因素辨识，识别出主要职业危害因素，并列入“重要危险因素清单”。</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月度风险分析时，同时进行职业危害因素分析并将职业危害因素列入危险因素清单，生产过程中一并进行管控。</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对工人进行培训时，将本工种职业危害因素和职业病防治措施作为一项重要内容。分部分项工程安全技术交底时，详细进行职业危害防治措施交底。</w:t>
      </w:r>
    </w:p>
    <w:p>
      <w:pPr>
        <w:pStyle w:val="3"/>
        <w:spacing w:before="156" w:after="156"/>
        <w:rPr>
          <w:rFonts w:hint="eastAsia" w:ascii="方正楷体_GBK" w:hAnsi="方正楷体_GBK" w:eastAsia="方正楷体_GBK" w:cs="方正楷体_GBK"/>
          <w:b/>
          <w:bCs/>
          <w:color w:val="auto"/>
          <w:sz w:val="28"/>
          <w:szCs w:val="28"/>
        </w:rPr>
      </w:pPr>
      <w:bookmarkStart w:id="209" w:name="_Toc17757_WPSOffice_Level2"/>
      <w:bookmarkStart w:id="210" w:name="_Toc9772_WPSOffice_Level2"/>
      <w:r>
        <w:rPr>
          <w:rFonts w:hint="eastAsia" w:ascii="方正楷体_GBK" w:hAnsi="方正楷体_GBK" w:eastAsia="方正楷体_GBK" w:cs="方正楷体_GBK"/>
          <w:b/>
          <w:bCs/>
          <w:color w:val="auto"/>
          <w:sz w:val="28"/>
          <w:szCs w:val="28"/>
        </w:rPr>
        <w:t>职业病防治</w:t>
      </w:r>
      <w:bookmarkEnd w:id="209"/>
      <w:bookmarkEnd w:id="210"/>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职业病预防管理坚持“预防为主，防治结合”的方针，实行分类管理、综合治理。</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对采用的技术、工艺、材料、设备，应当知悉其可能产生的职业病危害，并采取相应的防护措施。不得使用国家明令禁止使用的可能产生职业病危害的设备或者材料。</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为从事接触职业病危害作业的人员提供符合防治职业病要求的职业病防护设施和用品，并监督正确使用。</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不得安排有职业禁忌病的人员从事其所禁忌的作业。</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对可能发生急性职业伤害的有毒、有害工作场所，</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应当设置报警装置，配置现场急救用品，并编制应急预案。</w:t>
      </w:r>
    </w:p>
    <w:p>
      <w:pPr>
        <w:pStyle w:val="4"/>
        <w:spacing w:before="156" w:after="156"/>
        <w:ind w:left="992" w:hanging="992"/>
        <w:rPr>
          <w:rFonts w:hint="eastAsia" w:ascii="方正楷体_GBK" w:hAnsi="方正楷体_GBK" w:eastAsia="方正楷体_GBK" w:cs="方正楷体_GBK"/>
          <w:b/>
          <w:bCs/>
          <w:color w:val="auto"/>
          <w:sz w:val="28"/>
          <w:szCs w:val="28"/>
        </w:rPr>
      </w:pPr>
      <w:r>
        <w:rPr>
          <w:rFonts w:hint="eastAsia" w:ascii="方正仿宋_GBK" w:hAnsi="方正仿宋_GBK" w:eastAsia="方正仿宋_GBK" w:cs="方正仿宋_GBK"/>
          <w:b/>
          <w:bCs/>
          <w:color w:val="auto"/>
          <w:sz w:val="28"/>
          <w:szCs w:val="28"/>
        </w:rPr>
        <w:t>发生急性职业病危害事故时，公司、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应立即启动应急预案，实施应急救援和控制措施，并及时报告。</w:t>
      </w:r>
    </w:p>
    <w:bookmarkEnd w:id="161"/>
    <w:bookmarkEnd w:id="195"/>
    <w:p>
      <w:pPr>
        <w:pStyle w:val="2"/>
        <w:spacing w:before="156" w:after="156"/>
        <w:rPr>
          <w:rFonts w:hint="eastAsia" w:ascii="方正黑体_GBK" w:hAnsi="方正黑体_GBK" w:eastAsia="方正黑体_GBK" w:cs="方正黑体_GBK"/>
          <w:b/>
          <w:bCs/>
          <w:color w:val="auto"/>
          <w:sz w:val="28"/>
          <w:szCs w:val="28"/>
        </w:rPr>
      </w:pPr>
      <w:bookmarkStart w:id="211" w:name="_Toc5003_WPSOffice_Level1"/>
      <w:bookmarkStart w:id="212" w:name="_Toc364950469"/>
      <w:bookmarkStart w:id="213" w:name="_Toc365276322"/>
      <w:r>
        <w:rPr>
          <w:rFonts w:hint="eastAsia" w:ascii="方正黑体_GBK" w:hAnsi="方正黑体_GBK" w:eastAsia="方正黑体_GBK" w:cs="方正黑体_GBK"/>
          <w:b/>
          <w:bCs/>
          <w:color w:val="auto"/>
          <w:sz w:val="28"/>
          <w:szCs w:val="28"/>
        </w:rPr>
        <w:t>生产安全事故与应急管理</w:t>
      </w:r>
      <w:bookmarkEnd w:id="211"/>
      <w:bookmarkEnd w:id="212"/>
      <w:bookmarkEnd w:id="213"/>
    </w:p>
    <w:p>
      <w:pPr>
        <w:pStyle w:val="3"/>
        <w:spacing w:before="156" w:after="156"/>
        <w:rPr>
          <w:rFonts w:hint="eastAsia" w:ascii="方正楷体_GBK" w:hAnsi="方正楷体_GBK" w:eastAsia="方正楷体_GBK" w:cs="方正楷体_GBK"/>
          <w:b/>
          <w:bCs/>
          <w:color w:val="auto"/>
          <w:sz w:val="28"/>
          <w:szCs w:val="28"/>
        </w:rPr>
      </w:pPr>
      <w:bookmarkStart w:id="214" w:name="_Toc25384_WPSOffice_Level2"/>
      <w:bookmarkStart w:id="215" w:name="_Toc18570_WPSOffice_Level2"/>
      <w:r>
        <w:rPr>
          <w:rFonts w:hint="eastAsia" w:ascii="方正楷体_GBK" w:hAnsi="方正楷体_GBK" w:eastAsia="方正楷体_GBK" w:cs="方正楷体_GBK"/>
          <w:b/>
          <w:bCs/>
          <w:color w:val="auto"/>
          <w:sz w:val="28"/>
          <w:szCs w:val="28"/>
        </w:rPr>
        <w:t>分级管控规定</w:t>
      </w:r>
      <w:bookmarkEnd w:id="214"/>
      <w:bookmarkEnd w:id="215"/>
    </w:p>
    <w:p>
      <w:pPr>
        <w:pStyle w:val="4"/>
        <w:spacing w:before="156" w:after="156"/>
        <w:ind w:left="992" w:hanging="992"/>
        <w:rPr>
          <w:rFonts w:hint="eastAsia" w:ascii="方正楷体_GBK" w:hAnsi="方正楷体_GBK" w:eastAsia="方正楷体_GBK" w:cs="方正楷体_GBK"/>
          <w:b/>
          <w:bCs/>
          <w:color w:val="auto"/>
          <w:sz w:val="28"/>
          <w:szCs w:val="28"/>
        </w:rPr>
      </w:pPr>
      <w:r>
        <w:rPr>
          <w:rFonts w:hint="eastAsia" w:ascii="方正仿宋_GBK" w:hAnsi="方正仿宋_GBK" w:eastAsia="方正仿宋_GBK" w:cs="方正仿宋_GBK"/>
          <w:b/>
          <w:bCs/>
          <w:color w:val="auto"/>
          <w:sz w:val="28"/>
          <w:szCs w:val="28"/>
        </w:rPr>
        <w:t>为提高事故管理效率，公司、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对事故实行分级管理，公司管控A级一般及以上事故，</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管控到B级一般事故，</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管理到C级及以下一般事故。</w:t>
      </w:r>
    </w:p>
    <w:p>
      <w:pPr>
        <w:pStyle w:val="3"/>
        <w:spacing w:before="156" w:after="156"/>
        <w:rPr>
          <w:rFonts w:hint="eastAsia" w:ascii="方正楷体_GBK" w:hAnsi="方正楷体_GBK" w:eastAsia="方正楷体_GBK" w:cs="方正楷体_GBK"/>
          <w:b/>
          <w:bCs/>
          <w:color w:val="auto"/>
          <w:sz w:val="28"/>
          <w:szCs w:val="28"/>
        </w:rPr>
      </w:pPr>
      <w:bookmarkStart w:id="216" w:name="_Toc32652_WPSOffice_Level2"/>
      <w:bookmarkStart w:id="217" w:name="_Toc14809_WPSOffice_Level2"/>
      <w:r>
        <w:rPr>
          <w:rFonts w:hint="eastAsia" w:ascii="方正楷体_GBK" w:hAnsi="方正楷体_GBK" w:eastAsia="方正楷体_GBK" w:cs="方正楷体_GBK"/>
          <w:b/>
          <w:bCs/>
          <w:color w:val="auto"/>
          <w:sz w:val="28"/>
          <w:szCs w:val="28"/>
        </w:rPr>
        <w:t>应急准备</w:t>
      </w:r>
      <w:bookmarkEnd w:id="216"/>
      <w:bookmarkEnd w:id="217"/>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应分别编制本单位生产安全事故应急预案（综合应急预案），公司、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应急预案分别与上一级和下一级单位应急预案相衔接，形成</w:t>
      </w:r>
      <w:r>
        <w:rPr>
          <w:rFonts w:hint="eastAsia" w:ascii="方正仿宋_GBK" w:hAnsi="方正仿宋_GBK" w:eastAsia="方正仿宋_GBK" w:cs="方正仿宋_GBK"/>
          <w:b/>
          <w:bCs/>
          <w:color w:val="auto"/>
          <w:sz w:val="28"/>
          <w:szCs w:val="28"/>
          <w:lang w:eastAsia="zh-CN"/>
        </w:rPr>
        <w:t>地方</w:t>
      </w: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和</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四级应急预案体系，下级单位应急预案报上一级单位备案。</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生产安全事故应急预案，应与所在地政府的应急救援预案相衔接，并按当地政府的要求备案。</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应急预案应根据需要不定期</w:t>
      </w:r>
      <w:r>
        <w:rPr>
          <w:rFonts w:hint="eastAsia" w:ascii="方正仿宋_GBK" w:hAnsi="方正仿宋_GBK" w:eastAsia="方正仿宋_GBK" w:cs="方正仿宋_GBK"/>
          <w:b/>
          <w:bCs/>
          <w:color w:val="auto"/>
          <w:sz w:val="28"/>
          <w:szCs w:val="28"/>
          <w:lang w:eastAsia="zh-CN"/>
        </w:rPr>
        <w:t>更新</w:t>
      </w:r>
      <w:r>
        <w:rPr>
          <w:rFonts w:hint="eastAsia" w:ascii="方正仿宋_GBK" w:hAnsi="方正仿宋_GBK" w:eastAsia="方正仿宋_GBK" w:cs="方正仿宋_GBK"/>
          <w:b/>
          <w:bCs/>
          <w:color w:val="auto"/>
          <w:sz w:val="28"/>
          <w:szCs w:val="28"/>
        </w:rPr>
        <w:t>，书面下发到下级单位，每年至少组织一次培训和演练。</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除综合应急预案外，还应在风险识别的基础上编制专项应急处置方案，且应随现场条件变化升版。</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每年编制</w:t>
      </w:r>
      <w:r>
        <w:rPr>
          <w:rFonts w:hint="eastAsia" w:ascii="方正仿宋_GBK" w:hAnsi="方正仿宋_GBK" w:eastAsia="方正仿宋_GBK" w:cs="方正仿宋_GBK"/>
          <w:b/>
          <w:bCs/>
          <w:color w:val="auto"/>
          <w:sz w:val="28"/>
          <w:szCs w:val="28"/>
          <w:lang w:val="en-US" w:eastAsia="zh-CN"/>
        </w:rPr>
        <w:t>防汛</w:t>
      </w:r>
      <w:r>
        <w:rPr>
          <w:rFonts w:hint="eastAsia" w:ascii="方正仿宋_GBK" w:hAnsi="方正仿宋_GBK" w:eastAsia="方正仿宋_GBK" w:cs="方正仿宋_GBK"/>
          <w:b/>
          <w:bCs/>
          <w:color w:val="auto"/>
          <w:sz w:val="28"/>
          <w:szCs w:val="28"/>
        </w:rPr>
        <w:t>应急预案，在</w:t>
      </w:r>
      <w:r>
        <w:rPr>
          <w:rFonts w:hint="eastAsia" w:ascii="方正仿宋_GBK" w:hAnsi="方正仿宋_GBK" w:eastAsia="方正仿宋_GBK" w:cs="方正仿宋_GBK"/>
          <w:b/>
          <w:bCs/>
          <w:color w:val="auto"/>
          <w:sz w:val="28"/>
          <w:szCs w:val="28"/>
          <w:lang w:val="en-US" w:eastAsia="zh-CN"/>
        </w:rPr>
        <w:t>五</w:t>
      </w:r>
      <w:r>
        <w:rPr>
          <w:rFonts w:hint="eastAsia" w:ascii="方正仿宋_GBK" w:hAnsi="方正仿宋_GBK" w:eastAsia="方正仿宋_GBK" w:cs="方正仿宋_GBK"/>
          <w:b/>
          <w:bCs/>
          <w:color w:val="auto"/>
          <w:sz w:val="28"/>
          <w:szCs w:val="28"/>
        </w:rPr>
        <w:t>月底前签发生效。</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应急预案经主要领导签发后生效。应急预案发布、升版时应组织培训，</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应每年组织演练。</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应根据应急预案，建立应急救援队伍，落实应急救援物资和装备。每次应急处置结束后，应将应急处置资料整理归档，完善应急预案。</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应急预案启动条件：发生C级一般及以上事故，启动</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应急预案，发生B级一般及以上事故，</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应急预案，发生A级一般及以上事故，启动公司应急预案。</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子公司安全生产领导小组</w:t>
      </w:r>
      <w:r>
        <w:rPr>
          <w:rFonts w:hint="eastAsia" w:ascii="方正仿宋_GBK" w:hAnsi="方正仿宋_GBK" w:eastAsia="方正仿宋_GBK" w:cs="方正仿宋_GBK"/>
          <w:b/>
          <w:bCs/>
          <w:color w:val="auto"/>
          <w:sz w:val="28"/>
          <w:szCs w:val="28"/>
        </w:rPr>
        <w:t>为本企业应急指挥中心，公司、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应急指挥中心组成如下：</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1）总指挥：</w:t>
      </w:r>
      <w:r>
        <w:rPr>
          <w:rFonts w:hint="eastAsia" w:ascii="方正仿宋_GBK" w:hAnsi="方正仿宋_GBK" w:eastAsia="方正仿宋_GBK" w:cs="方正仿宋_GBK"/>
          <w:b/>
          <w:bCs/>
          <w:color w:val="auto"/>
          <w:sz w:val="28"/>
          <w:szCs w:val="28"/>
          <w:lang w:eastAsia="zh-CN"/>
        </w:rPr>
        <w:t>公司</w:t>
      </w:r>
      <w:r>
        <w:rPr>
          <w:rFonts w:hint="eastAsia" w:ascii="方正仿宋_GBK" w:hAnsi="方正仿宋_GBK" w:eastAsia="方正仿宋_GBK" w:cs="方正仿宋_GBK"/>
          <w:b/>
          <w:bCs/>
          <w:color w:val="auto"/>
          <w:sz w:val="28"/>
          <w:szCs w:val="28"/>
        </w:rPr>
        <w:t>主要负责人</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2）第一副总指挥：分管生产副总经理</w:t>
      </w:r>
    </w:p>
    <w:p>
      <w:pPr>
        <w:spacing w:before="156" w:after="156"/>
        <w:rPr>
          <w:rFonts w:hint="eastAsia" w:ascii="方正仿宋_GBK" w:hAnsi="方正仿宋_GBK" w:eastAsia="方正仿宋_GBK" w:cs="方正仿宋_GBK"/>
          <w:b/>
          <w:bCs/>
          <w:color w:val="auto"/>
          <w:sz w:val="28"/>
          <w:szCs w:val="28"/>
          <w:lang w:eastAsia="zh-CN"/>
        </w:rPr>
      </w:pPr>
      <w:r>
        <w:rPr>
          <w:rFonts w:hint="eastAsia" w:ascii="方正仿宋_GBK" w:hAnsi="方正仿宋_GBK" w:eastAsia="方正仿宋_GBK" w:cs="方正仿宋_GBK"/>
          <w:b/>
          <w:bCs/>
          <w:color w:val="auto"/>
          <w:sz w:val="28"/>
          <w:szCs w:val="28"/>
        </w:rPr>
        <w:t>3）第二副总指挥：</w:t>
      </w:r>
      <w:r>
        <w:rPr>
          <w:rFonts w:hint="eastAsia" w:ascii="方正仿宋_GBK" w:hAnsi="方正仿宋_GBK" w:eastAsia="方正仿宋_GBK" w:cs="方正仿宋_GBK"/>
          <w:b/>
          <w:bCs/>
          <w:color w:val="auto"/>
          <w:sz w:val="28"/>
          <w:szCs w:val="28"/>
          <w:lang w:val="en-US" w:eastAsia="zh-CN"/>
        </w:rPr>
        <w:t>安全总监</w:t>
      </w:r>
      <w:r>
        <w:rPr>
          <w:rFonts w:hint="eastAsia" w:ascii="方正仿宋_GBK" w:hAnsi="方正仿宋_GBK" w:eastAsia="方正仿宋_GBK" w:cs="方正仿宋_GBK"/>
          <w:b/>
          <w:bCs/>
          <w:color w:val="auto"/>
          <w:sz w:val="28"/>
          <w:szCs w:val="28"/>
          <w:lang w:eastAsia="zh-CN"/>
        </w:rPr>
        <w:t>（</w:t>
      </w:r>
      <w:r>
        <w:rPr>
          <w:rFonts w:hint="eastAsia" w:ascii="方正仿宋_GBK" w:hAnsi="方正仿宋_GBK" w:eastAsia="方正仿宋_GBK" w:cs="方正仿宋_GBK"/>
          <w:b/>
          <w:bCs/>
          <w:color w:val="auto"/>
          <w:sz w:val="28"/>
          <w:szCs w:val="28"/>
          <w:lang w:val="en-US" w:eastAsia="zh-CN"/>
        </w:rPr>
        <w:t>分管安全副总或总工程师</w:t>
      </w:r>
      <w:r>
        <w:rPr>
          <w:rFonts w:hint="eastAsia" w:ascii="方正仿宋_GBK" w:hAnsi="方正仿宋_GBK" w:eastAsia="方正仿宋_GBK" w:cs="方正仿宋_GBK"/>
          <w:b/>
          <w:bCs/>
          <w:color w:val="auto"/>
          <w:sz w:val="28"/>
          <w:szCs w:val="28"/>
          <w:lang w:eastAsia="zh-CN"/>
        </w:rPr>
        <w:t>）</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4</w:t>
      </w:r>
      <w:r>
        <w:rPr>
          <w:rFonts w:hint="eastAsia" w:ascii="方正仿宋_GBK" w:hAnsi="方正仿宋_GBK" w:eastAsia="方正仿宋_GBK" w:cs="方正仿宋_GBK"/>
          <w:b/>
          <w:bCs/>
          <w:color w:val="auto"/>
          <w:sz w:val="28"/>
          <w:szCs w:val="28"/>
        </w:rPr>
        <w:t>）应急指挥助理：</w:t>
      </w:r>
      <w:r>
        <w:rPr>
          <w:rFonts w:hint="eastAsia" w:ascii="方正仿宋_GBK" w:hAnsi="方正仿宋_GBK" w:eastAsia="方正仿宋_GBK" w:cs="方正仿宋_GBK"/>
          <w:b/>
          <w:bCs/>
          <w:color w:val="auto"/>
          <w:sz w:val="28"/>
          <w:szCs w:val="28"/>
          <w:lang w:val="en-US" w:eastAsia="zh-CN"/>
        </w:rPr>
        <w:t>质量安全部、项目管理部</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val="en-US" w:eastAsia="zh-CN"/>
        </w:rPr>
        <w:t>党建和纪检督查室</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val="en-US" w:eastAsia="zh-CN"/>
        </w:rPr>
        <w:t>综合部、</w:t>
      </w:r>
      <w:r>
        <w:rPr>
          <w:rFonts w:hint="eastAsia" w:ascii="方正仿宋_GBK" w:hAnsi="方正仿宋_GBK" w:eastAsia="方正仿宋_GBK" w:cs="方正仿宋_GBK"/>
          <w:b/>
          <w:bCs/>
          <w:color w:val="auto"/>
          <w:sz w:val="28"/>
          <w:szCs w:val="28"/>
        </w:rPr>
        <w:t>财务</w:t>
      </w:r>
      <w:r>
        <w:rPr>
          <w:rFonts w:hint="eastAsia" w:ascii="方正仿宋_GBK" w:hAnsi="方正仿宋_GBK" w:eastAsia="方正仿宋_GBK" w:cs="方正仿宋_GBK"/>
          <w:b/>
          <w:bCs/>
          <w:color w:val="auto"/>
          <w:sz w:val="28"/>
          <w:szCs w:val="28"/>
          <w:lang w:val="en-US" w:eastAsia="zh-CN"/>
        </w:rPr>
        <w:t>融资部</w:t>
      </w:r>
      <w:r>
        <w:rPr>
          <w:rFonts w:hint="eastAsia" w:ascii="方正仿宋_GBK" w:hAnsi="方正仿宋_GBK" w:eastAsia="方正仿宋_GBK" w:cs="方正仿宋_GBK"/>
          <w:b/>
          <w:bCs/>
          <w:color w:val="auto"/>
          <w:sz w:val="28"/>
          <w:szCs w:val="28"/>
        </w:rPr>
        <w:t>等部门负责人。</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总指挥不在岗时，由第一副总指挥担任总指挥，第一副总指挥也不在岗时，由第二副总指挥担任总指挥，依此类推。</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应急总指挥是事故应急救援的最高指挥者，对应急救援效果负责，有权调动可能的一切资源，负责救援决策，必要时可组织救援方案讨论会。</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应急副总指挥协助总指挥开展救援工作，应急指挥助理负责向总指挥提供专业支持。</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安全生产领导小组为本单位应急指挥中心，主要负责人为应急总指挥。</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应急指挥中心履行如下职责：</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1）建立本单位应急体系和应急管理机制。</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2）制定本单位生产安全事故管理制度和应急响应程序。</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3）组织进行风险分析，辨识典型事故，并根据风险分析结果编制应急预案。</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4）提供应急资源，按照应急预案配备应急物资等。</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5）定期开展应急能力检查。</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6）组织应急培训和演练。</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7）发生事故时，负责应急救援指挥并组织调查处理。</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8）建立事故数据库并开展经验反馈，提升本单位事故预防能力。</w:t>
      </w:r>
    </w:p>
    <w:p>
      <w:pPr>
        <w:pStyle w:val="3"/>
        <w:spacing w:before="156" w:after="156"/>
        <w:rPr>
          <w:rFonts w:hint="eastAsia" w:ascii="方正楷体_GBK" w:hAnsi="方正楷体_GBK" w:eastAsia="方正楷体_GBK" w:cs="方正楷体_GBK"/>
          <w:b/>
          <w:bCs/>
          <w:color w:val="auto"/>
          <w:sz w:val="28"/>
          <w:szCs w:val="28"/>
        </w:rPr>
      </w:pPr>
      <w:bookmarkStart w:id="218" w:name="_Toc28291_WPSOffice_Level2"/>
      <w:bookmarkStart w:id="219" w:name="_Toc9813_WPSOffice_Level2"/>
      <w:r>
        <w:rPr>
          <w:rFonts w:hint="eastAsia" w:ascii="方正楷体_GBK" w:hAnsi="方正楷体_GBK" w:eastAsia="方正楷体_GBK" w:cs="方正楷体_GBK"/>
          <w:b/>
          <w:bCs/>
          <w:color w:val="auto"/>
          <w:sz w:val="28"/>
          <w:szCs w:val="28"/>
        </w:rPr>
        <w:t>事故报告</w:t>
      </w:r>
      <w:bookmarkEnd w:id="218"/>
      <w:bookmarkEnd w:id="219"/>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发生生产安全事故后，事故单位除按照规定向当地行政主管部门和政府有关部门报告外，还应根据事故级别及时向上级企业安全生产监督管理部门如实报告，任何机构和个人不得迟报、漏报、瞒报、谎报，否则按升级处理。</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口头速报规定：</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1）发生事故时，事故现场管理人员须立即向</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主要负责人报告。</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2）</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主要负责人根据事故级别（B级一般事故及以上事故或可能为B级的事故），立即报告给</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分管领导或安全生产监督管理部门。</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3）</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根据事故级别（A级一般及以上事故或可能为A级的事故），在一小时内报告给公司分管领导或安全生产监督管理部门；较大及以上事故须立即报告给公司分管领导。</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4）发生A级一般事故，公司须在半小时内报告给</w:t>
      </w:r>
      <w:r>
        <w:rPr>
          <w:rFonts w:hint="eastAsia" w:ascii="方正仿宋_GBK" w:hAnsi="方正仿宋_GBK" w:eastAsia="方正仿宋_GBK" w:cs="方正仿宋_GBK"/>
          <w:b/>
          <w:bCs/>
          <w:color w:val="auto"/>
          <w:sz w:val="28"/>
          <w:szCs w:val="28"/>
          <w:lang w:eastAsia="zh-CN"/>
        </w:rPr>
        <w:t>地方</w:t>
      </w:r>
      <w:r>
        <w:rPr>
          <w:rFonts w:hint="eastAsia" w:ascii="方正仿宋_GBK" w:hAnsi="方正仿宋_GBK" w:eastAsia="方正仿宋_GBK" w:cs="方正仿宋_GBK"/>
          <w:b/>
          <w:bCs/>
          <w:color w:val="auto"/>
          <w:sz w:val="28"/>
          <w:szCs w:val="28"/>
        </w:rPr>
        <w:t>安全生产监督管理部门；发生较大及以上事故，公司须在第一时间报告给</w:t>
      </w:r>
      <w:r>
        <w:rPr>
          <w:rFonts w:hint="eastAsia" w:ascii="方正仿宋_GBK" w:hAnsi="方正仿宋_GBK" w:eastAsia="方正仿宋_GBK" w:cs="方正仿宋_GBK"/>
          <w:b/>
          <w:bCs/>
          <w:color w:val="auto"/>
          <w:sz w:val="28"/>
          <w:szCs w:val="28"/>
          <w:lang w:eastAsia="zh-CN"/>
        </w:rPr>
        <w:t>地方政府部门</w:t>
      </w:r>
      <w:r>
        <w:rPr>
          <w:rFonts w:hint="eastAsia" w:ascii="方正仿宋_GBK" w:hAnsi="方正仿宋_GBK" w:eastAsia="方正仿宋_GBK" w:cs="方正仿宋_GBK"/>
          <w:b/>
          <w:bCs/>
          <w:color w:val="auto"/>
          <w:sz w:val="28"/>
          <w:szCs w:val="28"/>
        </w:rPr>
        <w:t>。</w:t>
      </w:r>
    </w:p>
    <w:p>
      <w:pPr>
        <w:pStyle w:val="4"/>
        <w:numPr>
          <w:ilvl w:val="0"/>
          <w:numId w:val="0"/>
        </w:numPr>
        <w:spacing w:before="156" w:after="156"/>
        <w:ind w:left="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5）发生损坏市政基础设施、造成社会负面影响需政府相关部门出面协调处理的事故，</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主要负责人应立即报告给单位所在地政府主管部门。</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6）事故后果发生变化或救援有新进展时，应及时补充报告。</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7）口头速报内容包括事故概要（事故时间、地点、后果、类别、简要经过）、已采取的应急措施及拟采取的后续行动等。</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书面快报规定：</w:t>
      </w:r>
    </w:p>
    <w:p>
      <w:pPr>
        <w:pStyle w:val="4"/>
        <w:numPr>
          <w:ilvl w:val="0"/>
          <w:numId w:val="0"/>
        </w:numPr>
        <w:spacing w:before="156" w:after="156"/>
        <w:ind w:left="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1）发生B级一般及以上事故，</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须在1小时内将书面事故快报报到</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安全生产监督管理部门。</w:t>
      </w:r>
    </w:p>
    <w:p>
      <w:pPr>
        <w:pStyle w:val="4"/>
        <w:numPr>
          <w:ilvl w:val="0"/>
          <w:numId w:val="0"/>
        </w:numPr>
        <w:spacing w:before="156" w:after="156"/>
        <w:ind w:left="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2）发生A级一般及以上事故，</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须在半小时内将书面事故快报报到公司安全生产监督管理部门。</w:t>
      </w:r>
    </w:p>
    <w:p>
      <w:pPr>
        <w:pStyle w:val="4"/>
        <w:numPr>
          <w:ilvl w:val="0"/>
          <w:numId w:val="0"/>
        </w:numPr>
        <w:spacing w:before="156" w:after="156"/>
        <w:ind w:left="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3）发生死亡及以上安全事故，公司应在1小时内将书面事故快报报到</w:t>
      </w:r>
      <w:r>
        <w:rPr>
          <w:rFonts w:hint="eastAsia" w:ascii="方正仿宋_GBK" w:hAnsi="方正仿宋_GBK" w:eastAsia="方正仿宋_GBK" w:cs="方正仿宋_GBK"/>
          <w:b/>
          <w:bCs/>
          <w:color w:val="auto"/>
          <w:sz w:val="28"/>
          <w:szCs w:val="28"/>
          <w:lang w:eastAsia="zh-CN"/>
        </w:rPr>
        <w:t>地方</w:t>
      </w:r>
      <w:r>
        <w:rPr>
          <w:rFonts w:hint="eastAsia" w:ascii="方正仿宋_GBK" w:hAnsi="方正仿宋_GBK" w:eastAsia="方正仿宋_GBK" w:cs="方正仿宋_GBK"/>
          <w:b/>
          <w:bCs/>
          <w:color w:val="auto"/>
          <w:sz w:val="28"/>
          <w:szCs w:val="28"/>
        </w:rPr>
        <w:t>安全生产监督管理部门。</w:t>
      </w:r>
    </w:p>
    <w:p>
      <w:pPr>
        <w:pStyle w:val="4"/>
        <w:numPr>
          <w:ilvl w:val="0"/>
          <w:numId w:val="0"/>
        </w:numPr>
        <w:spacing w:before="156" w:after="156"/>
        <w:ind w:left="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4）自事故发生之日起30日内，事故造成的伤亡人数发生变化、事故救援或调查有新进展时，应适时更新书面报告。</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发生事故后，公司、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必须尽早上报，事故性质和责任暂无法认定时，应首先根据事故级别上报，以便上级单位尽快调动一切可能的资源采取应急响应行动，尽量控制事故后果，降低事故影响，必要时可越级报告。</w:t>
      </w:r>
    </w:p>
    <w:p>
      <w:pPr>
        <w:pStyle w:val="3"/>
        <w:spacing w:before="156" w:after="156"/>
        <w:rPr>
          <w:rFonts w:hint="eastAsia" w:ascii="方正楷体_GBK" w:hAnsi="方正楷体_GBK" w:eastAsia="方正楷体_GBK" w:cs="方正楷体_GBK"/>
          <w:b/>
          <w:bCs/>
          <w:color w:val="auto"/>
          <w:sz w:val="28"/>
          <w:szCs w:val="28"/>
        </w:rPr>
      </w:pPr>
      <w:bookmarkStart w:id="220" w:name="_Toc19668_WPSOffice_Level2"/>
      <w:bookmarkStart w:id="221" w:name="_Toc23208_WPSOffice_Level2"/>
      <w:r>
        <w:rPr>
          <w:rFonts w:hint="eastAsia" w:ascii="方正楷体_GBK" w:hAnsi="方正楷体_GBK" w:eastAsia="方正楷体_GBK" w:cs="方正楷体_GBK"/>
          <w:b/>
          <w:bCs/>
          <w:color w:val="auto"/>
          <w:sz w:val="28"/>
          <w:szCs w:val="28"/>
        </w:rPr>
        <w:t>事故应急响应</w:t>
      </w:r>
      <w:bookmarkEnd w:id="220"/>
      <w:bookmarkEnd w:id="221"/>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应建立预警机制，根据政府有关部门发布的预警信息，做好影响性评估和预测工作，预警信息应逐级、及时传递到各</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应急指挥中心接到事故报告后应立即启动本单位应急预案，开展应急响应行动。</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事故发生后，第一现场的最高管理者负责第一时间的应急指挥，</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应急指挥中心人员到达现场后接任应急总指挥。</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应急指挥中心接到事故报告后，应立即派人赶赴现场指挥救援和善后处理工作，采取有效措施，防止事故扩大，减少人员伤亡和财产损失，降低社会影响，并及时向上级单位安全生产监督管理部门报告现场动态。</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事故应急指挥中心可根据事故级别和实际需要成立救援抢险组、医疗救护及善后处理组、信息联络组、后勤支持组、事故调查组等专项工作组，以便顺利开展应急救援和善后处理工作。</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应急救援以生命优先为原则，即首先抢救生命。</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事故发生后，事故单位安全生产领导小组负责安排妥善保护事故现场和相关证据，尽量留下事故现场照片和影像等资料。任何人不得破坏事故现场、毁灭相关证据。</w:t>
      </w:r>
    </w:p>
    <w:p>
      <w:pPr>
        <w:pStyle w:val="3"/>
        <w:spacing w:before="156" w:after="156"/>
        <w:rPr>
          <w:rFonts w:hint="eastAsia" w:ascii="方正楷体_GBK" w:hAnsi="方正楷体_GBK" w:eastAsia="方正楷体_GBK" w:cs="方正楷体_GBK"/>
          <w:b/>
          <w:bCs/>
          <w:color w:val="auto"/>
          <w:sz w:val="28"/>
          <w:szCs w:val="28"/>
        </w:rPr>
      </w:pPr>
      <w:bookmarkStart w:id="222" w:name="_Toc19950_WPSOffice_Level2"/>
      <w:bookmarkStart w:id="223" w:name="_Toc6864_WPSOffice_Level2"/>
      <w:r>
        <w:rPr>
          <w:rFonts w:hint="eastAsia" w:ascii="方正楷体_GBK" w:hAnsi="方正楷体_GBK" w:eastAsia="方正楷体_GBK" w:cs="方正楷体_GBK"/>
          <w:b/>
          <w:bCs/>
          <w:color w:val="auto"/>
          <w:sz w:val="28"/>
          <w:szCs w:val="28"/>
        </w:rPr>
        <w:t>事故调查和处理</w:t>
      </w:r>
      <w:bookmarkEnd w:id="222"/>
      <w:bookmarkEnd w:id="223"/>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较大事故，公司在</w:t>
      </w:r>
      <w:r>
        <w:rPr>
          <w:rFonts w:hint="eastAsia" w:ascii="方正仿宋_GBK" w:hAnsi="方正仿宋_GBK" w:eastAsia="方正仿宋_GBK" w:cs="方正仿宋_GBK"/>
          <w:b/>
          <w:bCs/>
          <w:color w:val="auto"/>
          <w:sz w:val="28"/>
          <w:szCs w:val="28"/>
          <w:lang w:eastAsia="zh-CN"/>
        </w:rPr>
        <w:t>行政主管部门</w:t>
      </w:r>
      <w:r>
        <w:rPr>
          <w:rFonts w:hint="eastAsia" w:ascii="方正仿宋_GBK" w:hAnsi="方正仿宋_GBK" w:eastAsia="方正仿宋_GBK" w:cs="方正仿宋_GBK"/>
          <w:b/>
          <w:bCs/>
          <w:color w:val="auto"/>
          <w:sz w:val="28"/>
          <w:szCs w:val="28"/>
        </w:rPr>
        <w:t>的监督和指导下，协助</w:t>
      </w:r>
      <w:r>
        <w:rPr>
          <w:rFonts w:hint="eastAsia" w:ascii="方正仿宋_GBK" w:hAnsi="方正仿宋_GBK" w:eastAsia="方正仿宋_GBK" w:cs="方正仿宋_GBK"/>
          <w:b/>
          <w:bCs/>
          <w:color w:val="auto"/>
          <w:sz w:val="28"/>
          <w:szCs w:val="28"/>
          <w:lang w:eastAsia="zh-CN"/>
        </w:rPr>
        <w:t>行政主管部门</w:t>
      </w:r>
      <w:r>
        <w:rPr>
          <w:rFonts w:hint="eastAsia" w:ascii="方正仿宋_GBK" w:hAnsi="方正仿宋_GBK" w:eastAsia="方正仿宋_GBK" w:cs="方正仿宋_GBK"/>
          <w:b/>
          <w:bCs/>
          <w:color w:val="auto"/>
          <w:sz w:val="28"/>
          <w:szCs w:val="28"/>
        </w:rPr>
        <w:t>生产安全事故调查组，进行安全事故调查处置工作；A级一般事故由公司组织成立生产安全事故调查组进行内部调查，B级一般事故由</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组织成立生产安全事故调查组进行调查，C级一般事故由</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组织成立生产安全事故调查组进行调查，D级一般事故由</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安全生产监督管理部门组织调查。</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根据事故情况，生产安全事故调查组一般由负责调查单位分管领导担任组长，总工程师和安全总监担任副组长，成员由安全、工程、技术、商务、法律、党务、纪检、工会等部门领导和相关专家组成。</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生产安全事故调查组按照“四不放过”原则开展调查工作，履行下列职责：</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1）查明事故发生的经过、原因、人员伤亡情况及直接经济损失；</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2）认定事故的性质和事故责任；</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3）提出对事故责任者的处理建议；</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4）总结事故教训，提出防范和整改措施；</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5）提交事故调查报告。</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事故调查组有权向有关单位和个人了解与事故有关的情况，并要求其提供相关文件、资料，有关单位和个人不得拒绝。</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事故调查组需遵照实事求是、尊重科学的原则认真开展调查工作。事故调查组成员在事故调查工作中应当诚信公正、恪尽职守，遵守事故调查组的纪律，保守事故调查的秘密。未经事故调查组组长允许，事故调查组成员不得擅自发布有关事故信息。</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发生事故的</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和企业有关人员在事故调查期间不得擅离职守，并应当随时接受事故调查组的询问，如实提供有关情况。</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政府调查组介入调查的事故，内部调查组应配合其开展调查工作。</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事故调查组应当自事故发生之日起30日内，向公司</w:t>
      </w:r>
      <w:r>
        <w:rPr>
          <w:rFonts w:hint="eastAsia" w:ascii="方正仿宋_GBK" w:hAnsi="方正仿宋_GBK" w:eastAsia="方正仿宋_GBK" w:cs="方正仿宋_GBK"/>
          <w:b/>
          <w:bCs/>
          <w:color w:val="auto"/>
          <w:sz w:val="28"/>
          <w:szCs w:val="28"/>
          <w:lang w:eastAsia="zh-CN"/>
        </w:rPr>
        <w:t>安全生产领导小组</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安全生产领导小组提交内部事故调查报告。内部调查报告经调查单位</w:t>
      </w:r>
      <w:r>
        <w:rPr>
          <w:rFonts w:hint="eastAsia" w:ascii="方正仿宋_GBK" w:hAnsi="方正仿宋_GBK" w:eastAsia="方正仿宋_GBK" w:cs="方正仿宋_GBK"/>
          <w:b/>
          <w:bCs/>
          <w:color w:val="auto"/>
          <w:sz w:val="28"/>
          <w:szCs w:val="28"/>
          <w:lang w:eastAsia="zh-CN"/>
        </w:rPr>
        <w:t>安全生产领导小组</w:t>
      </w:r>
      <w:r>
        <w:rPr>
          <w:rFonts w:hint="eastAsia" w:ascii="方正仿宋_GBK" w:hAnsi="方正仿宋_GBK" w:eastAsia="方正仿宋_GBK" w:cs="方正仿宋_GBK"/>
          <w:b/>
          <w:bCs/>
          <w:color w:val="auto"/>
          <w:sz w:val="28"/>
          <w:szCs w:val="28"/>
        </w:rPr>
        <w:t>/安全生产领导小组批准后生效。生效后的内部调查报告和处理决定报上一级单位安全生产监督管理部门备案。</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国家政府机关介入调查的事故，调查处理结案后，</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应及时将政府部门出具的事故结案材料（调查报告、处理决定等）上报至企业安全生产监督管理部门，并按分级管控规定上报到管控企业。</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责任事故，由负责调查企业的</w:t>
      </w:r>
      <w:r>
        <w:rPr>
          <w:rFonts w:hint="eastAsia" w:ascii="方正仿宋_GBK" w:hAnsi="方正仿宋_GBK" w:eastAsia="方正仿宋_GBK" w:cs="方正仿宋_GBK"/>
          <w:b/>
          <w:bCs/>
          <w:color w:val="auto"/>
          <w:sz w:val="28"/>
          <w:szCs w:val="28"/>
          <w:lang w:eastAsia="zh-CN"/>
        </w:rPr>
        <w:t>安全生产领导小组</w:t>
      </w:r>
      <w:r>
        <w:rPr>
          <w:rFonts w:hint="eastAsia" w:ascii="方正仿宋_GBK" w:hAnsi="方正仿宋_GBK" w:eastAsia="方正仿宋_GBK" w:cs="方正仿宋_GBK"/>
          <w:b/>
          <w:bCs/>
          <w:color w:val="auto"/>
          <w:sz w:val="28"/>
          <w:szCs w:val="28"/>
        </w:rPr>
        <w:t>对事故单位和相关责任人进行处理：</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1）较大及以上生产安全事故，公司</w:t>
      </w:r>
      <w:r>
        <w:rPr>
          <w:rFonts w:hint="eastAsia" w:ascii="方正仿宋_GBK" w:hAnsi="方正仿宋_GBK" w:eastAsia="方正仿宋_GBK" w:cs="方正仿宋_GBK"/>
          <w:b/>
          <w:bCs/>
          <w:color w:val="auto"/>
          <w:sz w:val="28"/>
          <w:szCs w:val="28"/>
          <w:lang w:eastAsia="zh-CN"/>
        </w:rPr>
        <w:t>安全生产领导小组</w:t>
      </w:r>
      <w:r>
        <w:rPr>
          <w:rFonts w:hint="eastAsia" w:ascii="方正仿宋_GBK" w:hAnsi="方正仿宋_GBK" w:eastAsia="方正仿宋_GBK" w:cs="方正仿宋_GBK"/>
          <w:b/>
          <w:bCs/>
          <w:color w:val="auto"/>
          <w:sz w:val="28"/>
          <w:szCs w:val="28"/>
        </w:rPr>
        <w:t>依据相关规定对总部相关部门和人员实施责任追究。</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2）安全考核事故，由公司</w:t>
      </w:r>
      <w:r>
        <w:rPr>
          <w:rFonts w:hint="eastAsia" w:ascii="方正仿宋_GBK" w:hAnsi="方正仿宋_GBK" w:eastAsia="方正仿宋_GBK" w:cs="方正仿宋_GBK"/>
          <w:b/>
          <w:bCs/>
          <w:color w:val="auto"/>
          <w:sz w:val="28"/>
          <w:szCs w:val="28"/>
          <w:lang w:eastAsia="zh-CN"/>
        </w:rPr>
        <w:t>安全生产领导小组</w:t>
      </w:r>
      <w:r>
        <w:rPr>
          <w:rFonts w:hint="eastAsia" w:ascii="方正仿宋_GBK" w:hAnsi="方正仿宋_GBK" w:eastAsia="方正仿宋_GBK" w:cs="方正仿宋_GBK"/>
          <w:b/>
          <w:bCs/>
          <w:color w:val="auto"/>
          <w:sz w:val="28"/>
          <w:szCs w:val="28"/>
        </w:rPr>
        <w:t>依照事故调查报告和相关规定，对</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进行经济处罚，对</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领导班子实行责任追究，并责成</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对事故相关责任人实施责任追究。</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3）B级一般事故，由</w:t>
      </w:r>
      <w:r>
        <w:rPr>
          <w:rFonts w:hint="eastAsia" w:ascii="方正仿宋_GBK" w:hAnsi="方正仿宋_GBK" w:eastAsia="方正仿宋_GBK" w:cs="方正仿宋_GBK"/>
          <w:b/>
          <w:bCs/>
          <w:color w:val="auto"/>
          <w:sz w:val="28"/>
          <w:szCs w:val="28"/>
          <w:lang w:eastAsia="zh-CN"/>
        </w:rPr>
        <w:t>子公司安全生产领导小组</w:t>
      </w:r>
      <w:r>
        <w:rPr>
          <w:rFonts w:hint="eastAsia" w:ascii="方正仿宋_GBK" w:hAnsi="方正仿宋_GBK" w:eastAsia="方正仿宋_GBK" w:cs="方正仿宋_GBK"/>
          <w:b/>
          <w:bCs/>
          <w:color w:val="auto"/>
          <w:sz w:val="28"/>
          <w:szCs w:val="28"/>
        </w:rPr>
        <w:t>依照事故调查报告和本企业规定对事故单位和相关责任人实施责任追究。</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4）C级一般事故，由</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安全生产领导小组依照事故调查报告和所属企业有关规定对相关责任人实施责任追究。</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5）D级一般事故，只作为预兆性指标进行统计并开展经验反馈，不对责任人实行责任追究。</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事故责任人若触犯法律、构成犯罪的，由国家司法机关依法追究刑事责任。</w:t>
      </w:r>
    </w:p>
    <w:p>
      <w:pPr>
        <w:pStyle w:val="3"/>
        <w:spacing w:before="156" w:after="156"/>
        <w:rPr>
          <w:rFonts w:hint="eastAsia" w:ascii="方正楷体_GBK" w:hAnsi="方正楷体_GBK" w:eastAsia="方正楷体_GBK" w:cs="方正楷体_GBK"/>
          <w:b/>
          <w:bCs/>
          <w:color w:val="auto"/>
          <w:sz w:val="28"/>
          <w:szCs w:val="28"/>
        </w:rPr>
      </w:pPr>
      <w:bookmarkStart w:id="224" w:name="_Toc32128_WPSOffice_Level2"/>
      <w:bookmarkStart w:id="225" w:name="_Toc909_WPSOffice_Level2"/>
      <w:r>
        <w:rPr>
          <w:rFonts w:hint="eastAsia" w:ascii="方正楷体_GBK" w:hAnsi="方正楷体_GBK" w:eastAsia="方正楷体_GBK" w:cs="方正楷体_GBK"/>
          <w:b/>
          <w:bCs/>
          <w:color w:val="auto"/>
          <w:sz w:val="28"/>
          <w:szCs w:val="28"/>
        </w:rPr>
        <w:t>事故经验反馈</w:t>
      </w:r>
      <w:bookmarkEnd w:id="224"/>
      <w:bookmarkEnd w:id="225"/>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发生事故的</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和企业应当认真吸取事故教训，认真落实防范和整改措施，防止同类事故再次发生。事故调查单位的安全生产监督管理部门应当对事故发生单位防范和整改措施的落实情况进行跟踪验证。</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安全生产监督管理部门负责建立本单位事故数据库，并在本单位范围内全面开展经验反馈。公司安全生产监督管理部门负责建立A级一般事故及以上事故数据库，并组织在全公司开展经验反馈。</w:t>
      </w:r>
    </w:p>
    <w:p>
      <w:pPr>
        <w:pStyle w:val="3"/>
        <w:spacing w:before="156" w:after="156"/>
        <w:rPr>
          <w:rFonts w:hint="eastAsia" w:ascii="方正楷体_GBK" w:hAnsi="方正楷体_GBK" w:eastAsia="方正楷体_GBK" w:cs="方正楷体_GBK"/>
          <w:b/>
          <w:bCs/>
          <w:color w:val="auto"/>
          <w:sz w:val="28"/>
          <w:szCs w:val="28"/>
        </w:rPr>
      </w:pPr>
      <w:bookmarkStart w:id="226" w:name="_Toc6437_WPSOffice_Level2"/>
      <w:bookmarkStart w:id="227" w:name="_Toc13271_WPSOffice_Level2"/>
      <w:r>
        <w:rPr>
          <w:rFonts w:hint="eastAsia" w:ascii="方正楷体_GBK" w:hAnsi="方正楷体_GBK" w:eastAsia="方正楷体_GBK" w:cs="方正楷体_GBK"/>
          <w:b/>
          <w:bCs/>
          <w:color w:val="auto"/>
          <w:sz w:val="28"/>
          <w:szCs w:val="28"/>
        </w:rPr>
        <w:t>事故统计分析</w:t>
      </w:r>
      <w:bookmarkEnd w:id="226"/>
      <w:bookmarkEnd w:id="227"/>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公司安全生产监督管理部门负责为</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建立安全业绩档案，安全考核事故计入</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安全业绩档案。</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安全生产监督管理部门负责为</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建立安全业绩档案，发生B级一般及以上事故，计入</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安全业绩档案。</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安全生产监督管理部门负责为分包商建立安全业绩档案，发生C级一般及以上事故，计入分包商安全业绩档案。</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劳务分包、专业分包安全业绩档案报公司安全生产监督管理部门备案。</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为有效进行安全数据统计，实行安全月报制度。每月初，</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逐级向</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上报月度安全业绩报表，</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统计汇总后向公司上报月度安全业绩报表。</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安全生产监督管理部门每月初对上月各项安全业绩指标进行统计，并绘制趋势图，分析趋势变化原因并提出改进措施，形成</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安全运行状态及趋势分析报告。在本单位安全生产领导小组月度会议上发布报告，并上报公司安全生产监督管理部门。</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安全生产监督管理部门每月上旬完成各</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安全业绩指标统计，绘制运行状态趋势图，分析趋势变化原因并制定改进措施，形成公司月度安全运行状态及趋势分析报告。分析报告报公司</w:t>
      </w:r>
      <w:r>
        <w:rPr>
          <w:rFonts w:hint="eastAsia" w:ascii="方正仿宋_GBK" w:hAnsi="方正仿宋_GBK" w:eastAsia="方正仿宋_GBK" w:cs="方正仿宋_GBK"/>
          <w:b/>
          <w:bCs/>
          <w:color w:val="auto"/>
          <w:sz w:val="28"/>
          <w:szCs w:val="28"/>
          <w:lang w:eastAsia="zh-CN"/>
        </w:rPr>
        <w:t>安全生产领导小组</w:t>
      </w:r>
      <w:r>
        <w:rPr>
          <w:rFonts w:hint="eastAsia" w:ascii="方正仿宋_GBK" w:hAnsi="方正仿宋_GBK" w:eastAsia="方正仿宋_GBK" w:cs="方正仿宋_GBK"/>
          <w:b/>
          <w:bCs/>
          <w:color w:val="auto"/>
          <w:sz w:val="28"/>
          <w:szCs w:val="28"/>
        </w:rPr>
        <w:t>作为安全管理决策依据，安全业绩指标运行趋势连续三个月下滑时，安全生产监督管理部门应通过分析报告向公司</w:t>
      </w:r>
      <w:r>
        <w:rPr>
          <w:rFonts w:hint="eastAsia" w:ascii="方正仿宋_GBK" w:hAnsi="方正仿宋_GBK" w:eastAsia="方正仿宋_GBK" w:cs="方正仿宋_GBK"/>
          <w:b/>
          <w:bCs/>
          <w:color w:val="auto"/>
          <w:sz w:val="28"/>
          <w:szCs w:val="28"/>
          <w:lang w:eastAsia="zh-CN"/>
        </w:rPr>
        <w:t>安全生产领导小组</w:t>
      </w:r>
      <w:r>
        <w:rPr>
          <w:rFonts w:hint="eastAsia" w:ascii="方正仿宋_GBK" w:hAnsi="方正仿宋_GBK" w:eastAsia="方正仿宋_GBK" w:cs="方正仿宋_GBK"/>
          <w:b/>
          <w:bCs/>
          <w:color w:val="auto"/>
          <w:sz w:val="28"/>
          <w:szCs w:val="28"/>
        </w:rPr>
        <w:t>提出预警。</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公司安全生产监督管理部门编制季度安全运行状态及趋势分析报告，报分管领导并在季度安全总监会上通报，</w:t>
      </w:r>
      <w:r>
        <w:rPr>
          <w:rFonts w:hint="eastAsia" w:ascii="方正仿宋_GBK" w:hAnsi="方正仿宋_GBK" w:eastAsia="方正仿宋_GBK" w:cs="方正仿宋_GBK"/>
          <w:b/>
          <w:bCs/>
          <w:color w:val="auto"/>
          <w:sz w:val="28"/>
          <w:szCs w:val="28"/>
          <w:lang w:eastAsia="zh-CN"/>
        </w:rPr>
        <w:t>安全生产领导小组</w:t>
      </w:r>
      <w:r>
        <w:rPr>
          <w:rFonts w:hint="eastAsia" w:ascii="方正仿宋_GBK" w:hAnsi="方正仿宋_GBK" w:eastAsia="方正仿宋_GBK" w:cs="方正仿宋_GBK"/>
          <w:b/>
          <w:bCs/>
          <w:color w:val="auto"/>
          <w:sz w:val="28"/>
          <w:szCs w:val="28"/>
        </w:rPr>
        <w:t>上发布每季度安全运行状态与趋势分析报告。</w:t>
      </w:r>
    </w:p>
    <w:p>
      <w:pPr>
        <w:pStyle w:val="2"/>
        <w:spacing w:before="156" w:after="156"/>
        <w:rPr>
          <w:rFonts w:hint="eastAsia" w:ascii="方正黑体_GBK" w:hAnsi="方正黑体_GBK" w:eastAsia="方正黑体_GBK" w:cs="方正黑体_GBK"/>
          <w:b/>
          <w:bCs/>
          <w:color w:val="auto"/>
          <w:sz w:val="28"/>
          <w:szCs w:val="28"/>
        </w:rPr>
      </w:pPr>
      <w:bookmarkStart w:id="228" w:name="_Toc4623_WPSOffice_Level1"/>
      <w:bookmarkStart w:id="229" w:name="_Toc365276323"/>
      <w:r>
        <w:rPr>
          <w:rFonts w:hint="eastAsia" w:ascii="方正黑体_GBK" w:hAnsi="方正黑体_GBK" w:eastAsia="方正黑体_GBK" w:cs="方正黑体_GBK"/>
          <w:b/>
          <w:bCs/>
          <w:color w:val="auto"/>
          <w:sz w:val="28"/>
          <w:szCs w:val="28"/>
        </w:rPr>
        <w:t>安全生产奖惩与责任追究</w:t>
      </w:r>
      <w:bookmarkEnd w:id="228"/>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公司按照《安全生产奖惩考核办法》实施奖惩。</w:t>
      </w: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应建立安全生产责任追究制度，发生生产安全事故，按照“一岗双责”原则，对应全员安全生产责任制的岗位安全职责，严肃追究相关责任。生产安全责任事故与经营业绩考核挂钩，责任人员应承担相应的经济处罚和行政处分。在职称评定、选拔任用条件中，事故责任应在一定时限内作为否决条件之一。</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经济处罚及行政处分规定：</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1）遵循国家有关安全生产法律法规规定，各岗位均有安全生产职责，发生安全生产事故，均应承担相应责任。</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2）按照安全生产标准化管理原则，按层级制定统一的安全生产责任追究处罚标准。</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3）各级企业依据事故等级，结合政府部门调查处理结果（事故调查报告或批复等）和内部调查结果，给予事故单位和相关责任人经济处罚或行政处分。</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公司制定安全生产责任追究与奖罚办法，对安全生产管理奖惩和事故责任追究作出规定。公司安全奖惩和事故责任追究标准为适用所有</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的最低标准，公司属</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应根据实际情况制定本单位生产安全责任追究与奖惩办法/实施细则。</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有下列情况之一，公司</w:t>
      </w:r>
      <w:r>
        <w:rPr>
          <w:rFonts w:hint="eastAsia" w:ascii="方正仿宋_GBK" w:hAnsi="方正仿宋_GBK" w:eastAsia="方正仿宋_GBK" w:cs="方正仿宋_GBK"/>
          <w:b/>
          <w:bCs/>
          <w:color w:val="auto"/>
          <w:sz w:val="28"/>
          <w:szCs w:val="28"/>
          <w:lang w:eastAsia="zh-CN"/>
        </w:rPr>
        <w:t>安全生产领导小组</w:t>
      </w:r>
      <w:r>
        <w:rPr>
          <w:rFonts w:hint="eastAsia" w:ascii="方正仿宋_GBK" w:hAnsi="方正仿宋_GBK" w:eastAsia="方正仿宋_GBK" w:cs="方正仿宋_GBK"/>
          <w:b/>
          <w:bCs/>
          <w:color w:val="auto"/>
          <w:sz w:val="28"/>
          <w:szCs w:val="28"/>
        </w:rPr>
        <w:t>对</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主要负责人进行诫勉约谈：</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1）不按要求设置安全管理机构，不足额配备专职安全人员、安全总监不到位的。</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2）发生A级一般及以上生产安全事故或发生事故未按规定及时上报的。</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3）存在重大事故隐患，未及时整改的。</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4）被地方政府通报或安全生产造成社会负面影响的。</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5）其他有必要进行诫勉约谈的。</w:t>
      </w:r>
    </w:p>
    <w:p>
      <w:pPr>
        <w:pStyle w:val="4"/>
        <w:numPr>
          <w:ilvl w:val="0"/>
          <w:numId w:val="0"/>
        </w:numPr>
        <w:spacing w:before="156" w:after="156"/>
        <w:ind w:left="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公司对</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诫勉约谈会内容如下：</w:t>
      </w:r>
    </w:p>
    <w:p>
      <w:pPr>
        <w:spacing w:before="156" w:after="156"/>
        <w:rPr>
          <w:rFonts w:hint="eastAsia" w:ascii="方正仿宋_GBK" w:hAnsi="方正仿宋_GBK" w:eastAsia="方正仿宋_GBK" w:cs="方正仿宋_GBK"/>
          <w:b/>
          <w:bCs/>
          <w:color w:val="auto"/>
          <w:sz w:val="28"/>
          <w:szCs w:val="28"/>
        </w:rPr>
      </w:pPr>
      <w:bookmarkStart w:id="230" w:name="_Toc25995_WPSOffice_Level2"/>
      <w:bookmarkStart w:id="231" w:name="_Toc25092_WPSOffice_Level2"/>
      <w:bookmarkStart w:id="232" w:name="_Toc13194_WPSOffice_Level2"/>
      <w:bookmarkStart w:id="233" w:name="_Toc31674_WPSOffice_Level2"/>
      <w:bookmarkStart w:id="234" w:name="_Toc3521_WPSOffice_Level2"/>
      <w:r>
        <w:rPr>
          <w:rFonts w:hint="eastAsia" w:ascii="方正仿宋_GBK" w:hAnsi="方正仿宋_GBK" w:eastAsia="方正仿宋_GBK" w:cs="方正仿宋_GBK"/>
          <w:b/>
          <w:bCs/>
          <w:color w:val="auto"/>
          <w:sz w:val="28"/>
          <w:szCs w:val="28"/>
        </w:rPr>
        <w:t>1）</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就约谈内容进行原因分析，提出改进措施。</w:t>
      </w:r>
      <w:bookmarkEnd w:id="230"/>
      <w:bookmarkEnd w:id="231"/>
      <w:bookmarkEnd w:id="232"/>
      <w:bookmarkEnd w:id="233"/>
      <w:bookmarkEnd w:id="234"/>
    </w:p>
    <w:p>
      <w:pPr>
        <w:spacing w:before="156" w:after="156"/>
        <w:rPr>
          <w:rFonts w:hint="eastAsia" w:ascii="方正仿宋_GBK" w:hAnsi="方正仿宋_GBK" w:eastAsia="方正仿宋_GBK" w:cs="方正仿宋_GBK"/>
          <w:b/>
          <w:bCs/>
          <w:color w:val="auto"/>
          <w:sz w:val="28"/>
          <w:szCs w:val="28"/>
        </w:rPr>
      </w:pPr>
      <w:bookmarkStart w:id="235" w:name="_Toc30016_WPSOffice_Level2"/>
      <w:bookmarkStart w:id="236" w:name="_Toc31766_WPSOffice_Level2"/>
      <w:bookmarkStart w:id="237" w:name="_Toc17023_WPSOffice_Level2"/>
      <w:bookmarkStart w:id="238" w:name="_Toc13066_WPSOffice_Level2"/>
      <w:bookmarkStart w:id="239" w:name="_Toc32017_WPSOffice_Level2"/>
      <w:r>
        <w:rPr>
          <w:rFonts w:hint="eastAsia" w:ascii="方正仿宋_GBK" w:hAnsi="方正仿宋_GBK" w:eastAsia="方正仿宋_GBK" w:cs="方正仿宋_GBK"/>
          <w:b/>
          <w:bCs/>
          <w:color w:val="auto"/>
          <w:sz w:val="28"/>
          <w:szCs w:val="28"/>
        </w:rPr>
        <w:t>2）</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主要领导向公司</w:t>
      </w:r>
      <w:r>
        <w:rPr>
          <w:rFonts w:hint="eastAsia" w:ascii="方正仿宋_GBK" w:hAnsi="方正仿宋_GBK" w:eastAsia="方正仿宋_GBK" w:cs="方正仿宋_GBK"/>
          <w:b/>
          <w:bCs/>
          <w:color w:val="auto"/>
          <w:sz w:val="28"/>
          <w:szCs w:val="28"/>
          <w:lang w:eastAsia="zh-CN"/>
        </w:rPr>
        <w:t>安全生产领导小组</w:t>
      </w:r>
      <w:r>
        <w:rPr>
          <w:rFonts w:hint="eastAsia" w:ascii="方正仿宋_GBK" w:hAnsi="方正仿宋_GBK" w:eastAsia="方正仿宋_GBK" w:cs="方正仿宋_GBK"/>
          <w:b/>
          <w:bCs/>
          <w:color w:val="auto"/>
          <w:sz w:val="28"/>
          <w:szCs w:val="28"/>
        </w:rPr>
        <w:t>作检讨。</w:t>
      </w:r>
      <w:bookmarkEnd w:id="235"/>
      <w:bookmarkEnd w:id="236"/>
      <w:bookmarkEnd w:id="237"/>
      <w:bookmarkEnd w:id="238"/>
      <w:bookmarkEnd w:id="239"/>
    </w:p>
    <w:p>
      <w:pPr>
        <w:spacing w:before="156" w:after="156"/>
        <w:rPr>
          <w:rFonts w:hint="eastAsia" w:ascii="方正仿宋_GBK" w:hAnsi="方正仿宋_GBK" w:eastAsia="方正仿宋_GBK" w:cs="方正仿宋_GBK"/>
          <w:b/>
          <w:bCs/>
          <w:color w:val="auto"/>
          <w:sz w:val="28"/>
          <w:szCs w:val="28"/>
        </w:rPr>
      </w:pPr>
      <w:bookmarkStart w:id="240" w:name="_Toc17521_WPSOffice_Level2"/>
      <w:bookmarkStart w:id="241" w:name="_Toc17103_WPSOffice_Level2"/>
      <w:bookmarkStart w:id="242" w:name="_Toc2454_WPSOffice_Level2"/>
      <w:bookmarkStart w:id="243" w:name="_Toc26142_WPSOffice_Level2"/>
      <w:bookmarkStart w:id="244" w:name="_Toc17530_WPSOffice_Level2"/>
      <w:r>
        <w:rPr>
          <w:rFonts w:hint="eastAsia" w:ascii="方正仿宋_GBK" w:hAnsi="方正仿宋_GBK" w:eastAsia="方正仿宋_GBK" w:cs="方正仿宋_GBK"/>
          <w:b/>
          <w:bCs/>
          <w:color w:val="auto"/>
          <w:sz w:val="28"/>
          <w:szCs w:val="28"/>
        </w:rPr>
        <w:t>3）公司</w:t>
      </w:r>
      <w:r>
        <w:rPr>
          <w:rFonts w:hint="eastAsia" w:ascii="方正仿宋_GBK" w:hAnsi="方正仿宋_GBK" w:eastAsia="方正仿宋_GBK" w:cs="方正仿宋_GBK"/>
          <w:b/>
          <w:bCs/>
          <w:color w:val="auto"/>
          <w:sz w:val="28"/>
          <w:szCs w:val="28"/>
          <w:lang w:eastAsia="zh-CN"/>
        </w:rPr>
        <w:t>安全生产领导小组</w:t>
      </w:r>
      <w:r>
        <w:rPr>
          <w:rFonts w:hint="eastAsia" w:ascii="方正仿宋_GBK" w:hAnsi="方正仿宋_GBK" w:eastAsia="方正仿宋_GBK" w:cs="方正仿宋_GBK"/>
          <w:b/>
          <w:bCs/>
          <w:color w:val="auto"/>
          <w:sz w:val="28"/>
          <w:szCs w:val="28"/>
        </w:rPr>
        <w:t>对</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反馈内容提出要求和指示。</w:t>
      </w:r>
      <w:bookmarkEnd w:id="240"/>
      <w:bookmarkEnd w:id="241"/>
      <w:bookmarkEnd w:id="242"/>
      <w:bookmarkEnd w:id="243"/>
      <w:bookmarkEnd w:id="244"/>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诫勉约谈会应形成会议纪要，公司安全生产监督管理部门负责跟踪验证</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改进措施执行情况。</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有下列情况之一，</w:t>
      </w:r>
      <w:r>
        <w:rPr>
          <w:rFonts w:hint="eastAsia" w:ascii="方正仿宋_GBK" w:hAnsi="方正仿宋_GBK" w:eastAsia="方正仿宋_GBK" w:cs="方正仿宋_GBK"/>
          <w:b/>
          <w:bCs/>
          <w:color w:val="auto"/>
          <w:sz w:val="28"/>
          <w:szCs w:val="28"/>
          <w:lang w:eastAsia="zh-CN"/>
        </w:rPr>
        <w:t>子公司安全生产领导小组</w:t>
      </w:r>
      <w:r>
        <w:rPr>
          <w:rFonts w:hint="eastAsia" w:ascii="方正仿宋_GBK" w:hAnsi="方正仿宋_GBK" w:eastAsia="方正仿宋_GBK" w:cs="方正仿宋_GBK"/>
          <w:b/>
          <w:bCs/>
          <w:color w:val="auto"/>
          <w:sz w:val="28"/>
          <w:szCs w:val="28"/>
        </w:rPr>
        <w:t>对下属</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主要负责人进行诫勉约谈：</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1）不按要求设置安全管理机构，不足额配备专职安全人员、安全总监不到位的。</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2）发生B级一般及以上生产安全事故或发生事故未按规定及时上报的。</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3）存在重大事故隐患，未及时整改的。</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4）未履行安全生产岗位职责的。</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5）被地方政府或上级企业通报或安全生产造成社会负面影响的。</w:t>
      </w:r>
    </w:p>
    <w:p>
      <w:pPr>
        <w:spacing w:before="156" w:after="156"/>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6）其他有必要进行诫勉约谈的。</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诫勉约谈后，未及时整改到位或再次发生生产安全事故，公司、</w:t>
      </w:r>
      <w:r>
        <w:rPr>
          <w:rFonts w:hint="eastAsia" w:ascii="方正仿宋_GBK" w:hAnsi="方正仿宋_GBK" w:eastAsia="方正仿宋_GBK" w:cs="方正仿宋_GBK"/>
          <w:b/>
          <w:bCs/>
          <w:color w:val="auto"/>
          <w:sz w:val="28"/>
          <w:szCs w:val="28"/>
          <w:lang w:eastAsia="zh-CN"/>
        </w:rPr>
        <w:t>子公司安全生产领导小组</w:t>
      </w:r>
      <w:r>
        <w:rPr>
          <w:rFonts w:hint="eastAsia" w:ascii="方正仿宋_GBK" w:hAnsi="方正仿宋_GBK" w:eastAsia="方正仿宋_GBK" w:cs="方正仿宋_GBK"/>
          <w:b/>
          <w:bCs/>
          <w:color w:val="auto"/>
          <w:sz w:val="28"/>
          <w:szCs w:val="28"/>
        </w:rPr>
        <w:t>应对相关企业或</w:t>
      </w:r>
      <w:r>
        <w:rPr>
          <w:rFonts w:hint="eastAsia" w:ascii="方正仿宋_GBK" w:hAnsi="方正仿宋_GBK" w:eastAsia="方正仿宋_GBK" w:cs="方正仿宋_GBK"/>
          <w:b/>
          <w:bCs/>
          <w:color w:val="auto"/>
          <w:sz w:val="28"/>
          <w:szCs w:val="28"/>
          <w:lang w:eastAsia="zh-CN"/>
        </w:rPr>
        <w:t>项目</w:t>
      </w:r>
      <w:r>
        <w:rPr>
          <w:rFonts w:hint="eastAsia" w:ascii="方正仿宋_GBK" w:hAnsi="方正仿宋_GBK" w:eastAsia="方正仿宋_GBK" w:cs="方正仿宋_GBK"/>
          <w:b/>
          <w:bCs/>
          <w:color w:val="auto"/>
          <w:sz w:val="28"/>
          <w:szCs w:val="28"/>
        </w:rPr>
        <w:t>及责任人进行通报批评。</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有谎报、瞒报，伪造或故意破坏事故现场等行为以及发生事故后应急救援不力或领导擅离职守的，加重一级处罚，并在评优、任用、晋升等方面一票否决。</w:t>
      </w:r>
    </w:p>
    <w:p>
      <w:pPr>
        <w:pStyle w:val="2"/>
        <w:spacing w:before="156" w:after="156"/>
        <w:rPr>
          <w:rFonts w:hint="eastAsia" w:ascii="方正黑体_GBK" w:hAnsi="方正黑体_GBK" w:eastAsia="方正黑体_GBK" w:cs="方正黑体_GBK"/>
          <w:b/>
          <w:bCs/>
          <w:color w:val="auto"/>
          <w:sz w:val="28"/>
          <w:szCs w:val="28"/>
        </w:rPr>
      </w:pPr>
      <w:bookmarkStart w:id="245" w:name="_Toc31694_WPSOffice_Level1"/>
      <w:r>
        <w:rPr>
          <w:rFonts w:hint="eastAsia" w:ascii="方正黑体_GBK" w:hAnsi="方正黑体_GBK" w:eastAsia="方正黑体_GBK" w:cs="方正黑体_GBK"/>
          <w:b/>
          <w:bCs/>
          <w:color w:val="auto"/>
          <w:sz w:val="28"/>
          <w:szCs w:val="28"/>
        </w:rPr>
        <w:t>安全生产标准化及评价</w:t>
      </w:r>
      <w:bookmarkEnd w:id="245"/>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应依据国家有关规定，推行安全生产标准化达标评价工作，并建立长效工作机制，表彰、推广安全生产标准化先进典型。</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安全生产标准化达标评价工作在公司、</w:t>
      </w:r>
      <w:r>
        <w:rPr>
          <w:rFonts w:hint="eastAsia" w:ascii="方正仿宋_GBK" w:hAnsi="方正仿宋_GBK" w:eastAsia="方正仿宋_GBK" w:cs="方正仿宋_GBK"/>
          <w:b/>
          <w:bCs/>
          <w:color w:val="auto"/>
          <w:sz w:val="28"/>
          <w:szCs w:val="28"/>
          <w:lang w:eastAsia="zh-CN"/>
        </w:rPr>
        <w:t>子公司安全生产领导小组</w:t>
      </w:r>
      <w:r>
        <w:rPr>
          <w:rFonts w:hint="eastAsia" w:ascii="方正仿宋_GBK" w:hAnsi="方正仿宋_GBK" w:eastAsia="方正仿宋_GBK" w:cs="方正仿宋_GBK"/>
          <w:b/>
          <w:bCs/>
          <w:color w:val="auto"/>
          <w:sz w:val="28"/>
          <w:szCs w:val="28"/>
        </w:rPr>
        <w:t>的领导下，由安全生产监督管理部门组织实施。对</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的评价结果经负责考核企业</w:t>
      </w:r>
      <w:r>
        <w:rPr>
          <w:rFonts w:hint="eastAsia" w:ascii="方正仿宋_GBK" w:hAnsi="方正仿宋_GBK" w:eastAsia="方正仿宋_GBK" w:cs="方正仿宋_GBK"/>
          <w:b/>
          <w:bCs/>
          <w:color w:val="auto"/>
          <w:sz w:val="28"/>
          <w:szCs w:val="28"/>
          <w:lang w:eastAsia="zh-CN"/>
        </w:rPr>
        <w:t>安全生产领导小组</w:t>
      </w:r>
      <w:r>
        <w:rPr>
          <w:rFonts w:hint="eastAsia" w:ascii="方正仿宋_GBK" w:hAnsi="方正仿宋_GBK" w:eastAsia="方正仿宋_GBK" w:cs="方正仿宋_GBK"/>
          <w:b/>
          <w:bCs/>
          <w:color w:val="auto"/>
          <w:sz w:val="28"/>
          <w:szCs w:val="28"/>
        </w:rPr>
        <w:t>审定，计入其年度安全业绩考核结果。</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公司按照安全生产标准化达标评价准则，每年完成一次自评。</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公司每年对</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进行一次安全生产标准化达标评价。</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应按公司安全生产标准化达标评价准则，每半年完成一次自评。</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公司对</w:t>
      </w:r>
      <w:r>
        <w:rPr>
          <w:rFonts w:hint="eastAsia" w:ascii="方正仿宋_GBK" w:hAnsi="方正仿宋_GBK" w:eastAsia="方正仿宋_GBK" w:cs="方正仿宋_GBK"/>
          <w:b/>
          <w:bCs/>
          <w:color w:val="auto"/>
          <w:sz w:val="28"/>
          <w:szCs w:val="28"/>
          <w:lang w:eastAsia="zh-CN"/>
        </w:rPr>
        <w:t>子公司</w:t>
      </w:r>
      <w:r>
        <w:rPr>
          <w:rFonts w:hint="eastAsia" w:ascii="方正仿宋_GBK" w:hAnsi="方正仿宋_GBK" w:eastAsia="方正仿宋_GBK" w:cs="方正仿宋_GBK"/>
          <w:b/>
          <w:bCs/>
          <w:color w:val="auto"/>
          <w:sz w:val="28"/>
          <w:szCs w:val="28"/>
        </w:rPr>
        <w:t>安全标准化达标评价除检查总部外，还季度检查的结果作为评价样本。标准化评价采用定量分析和定性评价相结合方式，检查安全管理（组织机构及职责、规章制度及实施等）和安全行为两方面内容。</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安全生产标准化达标评价采用量化评分方式考核，</w:t>
      </w:r>
      <w:r>
        <w:rPr>
          <w:rFonts w:hint="eastAsia" w:ascii="方正仿宋_GBK" w:hAnsi="方正仿宋_GBK" w:eastAsia="方正仿宋_GBK" w:cs="方正仿宋_GBK"/>
          <w:b/>
          <w:bCs/>
          <w:color w:val="auto"/>
          <w:sz w:val="28"/>
          <w:szCs w:val="28"/>
          <w:lang w:val="en-US" w:eastAsia="zh-CN"/>
        </w:rPr>
        <w:t>90</w:t>
      </w:r>
      <w:r>
        <w:rPr>
          <w:rFonts w:hint="eastAsia" w:ascii="方正仿宋_GBK" w:hAnsi="方正仿宋_GBK" w:eastAsia="方正仿宋_GBK" w:cs="方正仿宋_GBK"/>
          <w:b/>
          <w:bCs/>
          <w:color w:val="auto"/>
          <w:sz w:val="28"/>
          <w:szCs w:val="28"/>
        </w:rPr>
        <w:t>分及以上为</w:t>
      </w:r>
      <w:r>
        <w:rPr>
          <w:rFonts w:hint="eastAsia" w:ascii="方正仿宋_GBK" w:hAnsi="方正仿宋_GBK" w:eastAsia="方正仿宋_GBK" w:cs="方正仿宋_GBK"/>
          <w:b/>
          <w:bCs/>
          <w:color w:val="auto"/>
          <w:sz w:val="28"/>
          <w:szCs w:val="28"/>
          <w:lang w:eastAsia="zh-CN"/>
        </w:rPr>
        <w:t>优秀</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val="en-US" w:eastAsia="zh-CN"/>
        </w:rPr>
        <w:t>80</w:t>
      </w:r>
      <w:r>
        <w:rPr>
          <w:rFonts w:hint="eastAsia" w:ascii="方正仿宋_GBK" w:hAnsi="方正仿宋_GBK" w:eastAsia="方正仿宋_GBK" w:cs="方正仿宋_GBK"/>
          <w:b/>
          <w:bCs/>
          <w:color w:val="auto"/>
          <w:sz w:val="28"/>
          <w:szCs w:val="28"/>
        </w:rPr>
        <w:t>分以上</w:t>
      </w:r>
      <w:r>
        <w:rPr>
          <w:rFonts w:hint="eastAsia" w:ascii="方正仿宋_GBK" w:hAnsi="方正仿宋_GBK" w:eastAsia="方正仿宋_GBK" w:cs="方正仿宋_GBK"/>
          <w:b/>
          <w:bCs/>
          <w:color w:val="auto"/>
          <w:sz w:val="28"/>
          <w:szCs w:val="28"/>
          <w:lang w:val="en-US" w:eastAsia="zh-CN"/>
        </w:rPr>
        <w:t>90</w:t>
      </w:r>
      <w:r>
        <w:rPr>
          <w:rFonts w:hint="eastAsia" w:ascii="方正仿宋_GBK" w:hAnsi="方正仿宋_GBK" w:eastAsia="方正仿宋_GBK" w:cs="方正仿宋_GBK"/>
          <w:b/>
          <w:bCs/>
          <w:color w:val="auto"/>
          <w:sz w:val="28"/>
          <w:szCs w:val="28"/>
        </w:rPr>
        <w:t>分以下为</w:t>
      </w:r>
      <w:r>
        <w:rPr>
          <w:rFonts w:hint="eastAsia" w:ascii="方正仿宋_GBK" w:hAnsi="方正仿宋_GBK" w:eastAsia="方正仿宋_GBK" w:cs="方正仿宋_GBK"/>
          <w:b/>
          <w:bCs/>
          <w:color w:val="auto"/>
          <w:sz w:val="28"/>
          <w:szCs w:val="28"/>
          <w:lang w:eastAsia="zh-CN"/>
        </w:rPr>
        <w:t>良好</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val="en-US" w:eastAsia="zh-CN"/>
        </w:rPr>
        <w:t>70</w:t>
      </w:r>
      <w:r>
        <w:rPr>
          <w:rFonts w:hint="eastAsia" w:ascii="方正仿宋_GBK" w:hAnsi="方正仿宋_GBK" w:eastAsia="方正仿宋_GBK" w:cs="方正仿宋_GBK"/>
          <w:b/>
          <w:bCs/>
          <w:color w:val="auto"/>
          <w:sz w:val="28"/>
          <w:szCs w:val="28"/>
        </w:rPr>
        <w:t>分以</w:t>
      </w:r>
      <w:r>
        <w:rPr>
          <w:rFonts w:hint="eastAsia" w:ascii="方正仿宋_GBK" w:hAnsi="方正仿宋_GBK" w:eastAsia="方正仿宋_GBK" w:cs="方正仿宋_GBK"/>
          <w:b/>
          <w:bCs/>
          <w:color w:val="auto"/>
          <w:sz w:val="28"/>
          <w:szCs w:val="28"/>
          <w:lang w:eastAsia="zh-CN"/>
        </w:rPr>
        <w:t>上</w:t>
      </w:r>
      <w:r>
        <w:rPr>
          <w:rFonts w:hint="eastAsia" w:ascii="方正仿宋_GBK" w:hAnsi="方正仿宋_GBK" w:eastAsia="方正仿宋_GBK" w:cs="方正仿宋_GBK"/>
          <w:b/>
          <w:bCs/>
          <w:color w:val="auto"/>
          <w:sz w:val="28"/>
          <w:szCs w:val="28"/>
          <w:lang w:val="en-US" w:eastAsia="zh-CN"/>
        </w:rPr>
        <w:t>80以下</w:t>
      </w:r>
      <w:r>
        <w:rPr>
          <w:rFonts w:hint="eastAsia" w:ascii="方正仿宋_GBK" w:hAnsi="方正仿宋_GBK" w:eastAsia="方正仿宋_GBK" w:cs="方正仿宋_GBK"/>
          <w:b/>
          <w:bCs/>
          <w:color w:val="auto"/>
          <w:sz w:val="28"/>
          <w:szCs w:val="28"/>
        </w:rPr>
        <w:t>为合格</w:t>
      </w:r>
      <w:r>
        <w:rPr>
          <w:rFonts w:hint="eastAsia" w:ascii="方正仿宋_GBK" w:hAnsi="方正仿宋_GBK" w:eastAsia="方正仿宋_GBK" w:cs="方正仿宋_GBK"/>
          <w:b/>
          <w:bCs/>
          <w:color w:val="auto"/>
          <w:sz w:val="28"/>
          <w:szCs w:val="28"/>
          <w:lang w:eastAsia="zh-CN"/>
        </w:rPr>
        <w:t>，</w:t>
      </w:r>
      <w:r>
        <w:rPr>
          <w:rFonts w:hint="eastAsia" w:ascii="方正仿宋_GBK" w:hAnsi="方正仿宋_GBK" w:eastAsia="方正仿宋_GBK" w:cs="方正仿宋_GBK"/>
          <w:b/>
          <w:bCs/>
          <w:color w:val="auto"/>
          <w:sz w:val="28"/>
          <w:szCs w:val="28"/>
          <w:lang w:val="en-US" w:eastAsia="zh-CN"/>
        </w:rPr>
        <w:t>50分以上70分以下为较差，50分以下为差</w:t>
      </w:r>
      <w:r>
        <w:rPr>
          <w:rFonts w:hint="eastAsia" w:ascii="方正仿宋_GBK" w:hAnsi="方正仿宋_GBK" w:eastAsia="方正仿宋_GBK" w:cs="方正仿宋_GBK"/>
          <w:b/>
          <w:bCs/>
          <w:color w:val="auto"/>
          <w:sz w:val="28"/>
          <w:szCs w:val="28"/>
        </w:rPr>
        <w:t>。</w:t>
      </w:r>
    </w:p>
    <w:p>
      <w:pPr>
        <w:pStyle w:val="2"/>
        <w:spacing w:before="156" w:after="156"/>
        <w:rPr>
          <w:rFonts w:hint="eastAsia" w:ascii="方正黑体_GBK" w:hAnsi="方正黑体_GBK" w:eastAsia="方正黑体_GBK" w:cs="方正黑体_GBK"/>
          <w:b/>
          <w:bCs/>
          <w:color w:val="auto"/>
          <w:sz w:val="28"/>
          <w:szCs w:val="28"/>
        </w:rPr>
      </w:pPr>
      <w:bookmarkStart w:id="246" w:name="_Toc5342_WPSOffice_Level1"/>
      <w:r>
        <w:rPr>
          <w:rFonts w:hint="eastAsia" w:ascii="方正黑体_GBK" w:hAnsi="方正黑体_GBK" w:eastAsia="方正黑体_GBK" w:cs="方正黑体_GBK"/>
          <w:b/>
          <w:bCs/>
          <w:color w:val="auto"/>
          <w:sz w:val="28"/>
          <w:szCs w:val="28"/>
        </w:rPr>
        <w:t>附则</w:t>
      </w:r>
      <w:bookmarkEnd w:id="229"/>
      <w:bookmarkEnd w:id="246"/>
    </w:p>
    <w:p>
      <w:pPr>
        <w:pStyle w:val="4"/>
        <w:spacing w:before="156" w:after="156"/>
        <w:ind w:left="992" w:hanging="992"/>
        <w:rPr>
          <w:rFonts w:hint="eastAsia" w:ascii="方正仿宋_GBK" w:hAnsi="方正仿宋_GBK" w:eastAsia="方正仿宋_GBK" w:cs="方正仿宋_GBK"/>
          <w:b/>
          <w:bCs/>
          <w:color w:val="auto"/>
          <w:sz w:val="28"/>
          <w:szCs w:val="28"/>
        </w:rPr>
      </w:pPr>
      <w:bookmarkStart w:id="247" w:name="_Toc16176_WPSOffice_Level1"/>
      <w:bookmarkStart w:id="248" w:name="_Toc29750_WPSOffice_Level1"/>
      <w:bookmarkStart w:id="249" w:name="_Toc4717_WPSOffice_Level1"/>
      <w:bookmarkStart w:id="250" w:name="_Toc23019_WPSOffice_Level1"/>
      <w:bookmarkStart w:id="251" w:name="_Toc31304_WPSOffice_Level1"/>
      <w:r>
        <w:rPr>
          <w:rFonts w:hint="eastAsia" w:ascii="方正仿宋_GBK" w:hAnsi="方正仿宋_GBK" w:eastAsia="方正仿宋_GBK" w:cs="方正仿宋_GBK"/>
          <w:b/>
          <w:bCs/>
          <w:color w:val="auto"/>
          <w:sz w:val="28"/>
          <w:szCs w:val="28"/>
        </w:rPr>
        <w:t>本制度由公司</w:t>
      </w:r>
      <w:r>
        <w:rPr>
          <w:rFonts w:hint="eastAsia" w:ascii="方正仿宋_GBK" w:hAnsi="方正仿宋_GBK" w:eastAsia="方正仿宋_GBK" w:cs="方正仿宋_GBK"/>
          <w:b/>
          <w:bCs/>
          <w:color w:val="auto"/>
          <w:sz w:val="28"/>
          <w:szCs w:val="28"/>
          <w:lang w:eastAsia="zh-CN"/>
        </w:rPr>
        <w:t>安全生产领导小组</w:t>
      </w:r>
      <w:r>
        <w:rPr>
          <w:rFonts w:hint="eastAsia" w:ascii="方正仿宋_GBK" w:hAnsi="方正仿宋_GBK" w:eastAsia="方正仿宋_GBK" w:cs="方正仿宋_GBK"/>
          <w:b/>
          <w:bCs/>
          <w:color w:val="auto"/>
          <w:sz w:val="28"/>
          <w:szCs w:val="28"/>
        </w:rPr>
        <w:t>负责解释。</w:t>
      </w:r>
      <w:bookmarkEnd w:id="247"/>
      <w:bookmarkEnd w:id="248"/>
      <w:bookmarkEnd w:id="249"/>
      <w:bookmarkEnd w:id="250"/>
      <w:bookmarkEnd w:id="251"/>
    </w:p>
    <w:p>
      <w:pPr>
        <w:pStyle w:val="4"/>
        <w:spacing w:before="156" w:after="156"/>
        <w:ind w:left="992" w:hanging="992"/>
        <w:rPr>
          <w:rFonts w:hint="eastAsia" w:ascii="方正仿宋_GBK" w:hAnsi="方正仿宋_GBK" w:eastAsia="方正仿宋_GBK" w:cs="方正仿宋_GBK"/>
          <w:b/>
          <w:bCs/>
          <w:color w:val="auto"/>
          <w:sz w:val="28"/>
          <w:szCs w:val="28"/>
          <w:lang w:val="en-US" w:eastAsia="zh-CN"/>
        </w:rPr>
      </w:pPr>
      <w:bookmarkStart w:id="252" w:name="_Toc29132_WPSOffice_Level1"/>
      <w:bookmarkStart w:id="253" w:name="_Toc3649_WPSOffice_Level1"/>
      <w:r>
        <w:rPr>
          <w:rFonts w:hint="eastAsia" w:ascii="方正仿宋_GBK" w:hAnsi="方正仿宋_GBK" w:eastAsia="方正仿宋_GBK" w:cs="方正仿宋_GBK"/>
          <w:b/>
          <w:bCs/>
          <w:color w:val="auto"/>
          <w:sz w:val="28"/>
          <w:szCs w:val="28"/>
          <w:lang w:val="en-US" w:eastAsia="zh-CN"/>
        </w:rPr>
        <w:t>各子公司安全资料见附件。</w:t>
      </w:r>
      <w:bookmarkEnd w:id="252"/>
      <w:bookmarkEnd w:id="253"/>
    </w:p>
    <w:p>
      <w:pPr>
        <w:pStyle w:val="4"/>
        <w:numPr>
          <w:ilvl w:val="2"/>
          <w:numId w:val="0"/>
        </w:numPr>
        <w:spacing w:before="156" w:after="156"/>
        <w:ind w:leftChars="0"/>
        <w:rPr>
          <w:rFonts w:hint="eastAsia" w:ascii="方正楷体_GBK" w:hAnsi="方正楷体_GBK" w:eastAsia="方正楷体_GBK" w:cs="方正楷体_GBK"/>
          <w:b/>
          <w:bCs/>
          <w:color w:val="auto"/>
          <w:sz w:val="28"/>
          <w:szCs w:val="28"/>
          <w:lang w:val="en-US" w:eastAsia="zh-CN"/>
        </w:rPr>
      </w:pPr>
      <w:bookmarkStart w:id="254" w:name="_Toc12508_WPSOffice_Level1"/>
      <w:bookmarkStart w:id="255" w:name="_Toc16427_WPSOffice_Level1"/>
      <w:r>
        <w:rPr>
          <w:rFonts w:hint="eastAsia" w:ascii="方正仿宋_GBK" w:hAnsi="方正仿宋_GBK" w:eastAsia="方正仿宋_GBK" w:cs="方正仿宋_GBK"/>
          <w:b/>
          <w:bCs/>
          <w:color w:val="auto"/>
          <w:sz w:val="28"/>
          <w:szCs w:val="28"/>
          <w:lang w:val="en-US" w:eastAsia="zh-CN"/>
        </w:rPr>
        <w:t>17.1.3 各子公司生产作业现场安全资料参照附件由各子公司制定</w:t>
      </w:r>
      <w:r>
        <w:rPr>
          <w:rFonts w:hint="eastAsia" w:ascii="方正楷体_GBK" w:hAnsi="方正楷体_GBK" w:eastAsia="方正楷体_GBK" w:cs="方正楷体_GBK"/>
          <w:b/>
          <w:bCs/>
          <w:color w:val="auto"/>
          <w:sz w:val="28"/>
          <w:szCs w:val="28"/>
          <w:lang w:val="en-US" w:eastAsia="zh-CN"/>
        </w:rPr>
        <w:t>。</w:t>
      </w:r>
      <w:bookmarkEnd w:id="254"/>
      <w:bookmarkEnd w:id="255"/>
    </w:p>
    <w:p>
      <w:pPr>
        <w:pStyle w:val="4"/>
        <w:numPr>
          <w:ilvl w:val="0"/>
          <w:numId w:val="0"/>
        </w:numPr>
        <w:spacing w:before="156" w:after="156"/>
        <w:ind w:left="992"/>
        <w:rPr>
          <w:rFonts w:hint="eastAsia" w:ascii="方正楷体_GBK" w:hAnsi="方正楷体_GBK" w:eastAsia="方正楷体_GBK" w:cs="方正楷体_GBK"/>
          <w:b/>
          <w:bCs/>
          <w:color w:val="auto"/>
          <w:sz w:val="28"/>
          <w:szCs w:val="28"/>
          <w:lang w:eastAsia="zh-CN"/>
        </w:rPr>
      </w:pPr>
    </w:p>
    <w:p>
      <w:pPr>
        <w:rPr>
          <w:rFonts w:hint="eastAsia" w:ascii="方正楷体_GBK" w:hAnsi="方正楷体_GBK" w:eastAsia="方正楷体_GBK" w:cs="方正楷体_GBK"/>
          <w:b/>
          <w:bCs/>
          <w:color w:val="auto"/>
          <w:sz w:val="28"/>
          <w:szCs w:val="28"/>
          <w:lang w:eastAsia="zh-CN"/>
        </w:rPr>
      </w:pPr>
    </w:p>
    <w:p>
      <w:pPr>
        <w:rPr>
          <w:rFonts w:hint="eastAsia" w:ascii="方正楷体_GBK" w:hAnsi="方正楷体_GBK" w:eastAsia="方正楷体_GBK" w:cs="方正楷体_GBK"/>
          <w:b/>
          <w:bCs/>
          <w:color w:val="auto"/>
          <w:sz w:val="28"/>
          <w:szCs w:val="28"/>
          <w:lang w:eastAsia="zh-CN"/>
        </w:rPr>
      </w:pPr>
    </w:p>
    <w:p>
      <w:pPr>
        <w:rPr>
          <w:rFonts w:hint="eastAsia" w:ascii="方正楷体_GBK" w:hAnsi="方正楷体_GBK" w:eastAsia="方正楷体_GBK" w:cs="方正楷体_GBK"/>
          <w:b/>
          <w:bCs/>
          <w:color w:val="auto"/>
          <w:sz w:val="28"/>
          <w:szCs w:val="28"/>
          <w:lang w:eastAsia="zh-CN"/>
        </w:rPr>
      </w:pPr>
    </w:p>
    <w:p>
      <w:pPr>
        <w:rPr>
          <w:rFonts w:hint="eastAsia" w:ascii="方正楷体_GBK" w:hAnsi="方正楷体_GBK" w:eastAsia="方正楷体_GBK" w:cs="方正楷体_GBK"/>
          <w:b/>
          <w:bCs/>
          <w:color w:val="auto"/>
          <w:sz w:val="28"/>
          <w:szCs w:val="28"/>
          <w:lang w:eastAsia="zh-CN"/>
        </w:rPr>
      </w:pPr>
    </w:p>
    <w:p>
      <w:pPr>
        <w:rPr>
          <w:rFonts w:hint="eastAsia" w:ascii="方正楷体_GBK" w:hAnsi="方正楷体_GBK" w:eastAsia="方正楷体_GBK" w:cs="方正楷体_GBK"/>
          <w:b/>
          <w:bCs/>
          <w:color w:val="auto"/>
          <w:sz w:val="28"/>
          <w:szCs w:val="28"/>
          <w:lang w:eastAsia="zh-CN"/>
        </w:rPr>
      </w:pPr>
    </w:p>
    <w:p>
      <w:pPr>
        <w:rPr>
          <w:rFonts w:hint="eastAsia" w:ascii="方正楷体_GBK" w:hAnsi="方正楷体_GBK" w:eastAsia="方正楷体_GBK" w:cs="方正楷体_GBK"/>
          <w:b/>
          <w:bCs/>
          <w:color w:val="auto"/>
          <w:sz w:val="28"/>
          <w:szCs w:val="28"/>
          <w:lang w:eastAsia="zh-CN"/>
        </w:rPr>
      </w:pPr>
    </w:p>
    <w:p>
      <w:pPr>
        <w:rPr>
          <w:rFonts w:hint="eastAsia" w:ascii="方正楷体_GBK" w:hAnsi="方正楷体_GBK" w:eastAsia="方正楷体_GBK" w:cs="方正楷体_GBK"/>
          <w:b/>
          <w:bCs/>
          <w:color w:val="auto"/>
          <w:sz w:val="28"/>
          <w:szCs w:val="28"/>
          <w:lang w:eastAsia="zh-CN"/>
        </w:rPr>
      </w:pPr>
    </w:p>
    <w:p>
      <w:pPr>
        <w:ind w:left="0" w:leftChars="0" w:firstLine="0" w:firstLineChars="0"/>
        <w:rPr>
          <w:rFonts w:hint="eastAsia" w:ascii="方正楷体_GBK" w:hAnsi="方正楷体_GBK" w:eastAsia="方正楷体_GBK" w:cs="方正楷体_GBK"/>
          <w:b/>
          <w:bCs/>
          <w:color w:val="auto"/>
          <w:sz w:val="28"/>
          <w:szCs w:val="28"/>
          <w:lang w:val="en-US" w:eastAsia="zh-CN"/>
        </w:rPr>
      </w:pPr>
    </w:p>
    <w:p>
      <w:pPr>
        <w:ind w:left="0" w:leftChars="0" w:firstLine="0" w:firstLineChars="0"/>
        <w:rPr>
          <w:rFonts w:hint="eastAsia" w:ascii="方正楷体_GBK" w:hAnsi="方正楷体_GBK" w:eastAsia="方正楷体_GBK" w:cs="方正楷体_GBK"/>
          <w:b/>
          <w:bCs/>
          <w:color w:val="auto"/>
          <w:sz w:val="28"/>
          <w:szCs w:val="28"/>
          <w:lang w:eastAsia="zh-CN"/>
        </w:rPr>
      </w:pPr>
    </w:p>
    <w:p>
      <w:pPr>
        <w:ind w:left="0" w:leftChars="0" w:firstLine="0" w:firstLineChars="0"/>
        <w:rPr>
          <w:rFonts w:hint="eastAsia" w:ascii="方正楷体_GBK" w:hAnsi="方正楷体_GBK" w:eastAsia="方正楷体_GBK" w:cs="方正楷体_GBK"/>
          <w:b/>
          <w:bCs/>
          <w:color w:val="auto"/>
          <w:sz w:val="28"/>
          <w:szCs w:val="28"/>
          <w:lang w:eastAsia="zh-CN"/>
        </w:rPr>
      </w:pPr>
    </w:p>
    <w:p>
      <w:pPr>
        <w:ind w:left="0" w:leftChars="0" w:firstLine="0" w:firstLineChars="0"/>
        <w:rPr>
          <w:rFonts w:hint="eastAsia" w:ascii="方正楷体_GBK" w:hAnsi="方正楷体_GBK" w:eastAsia="方正楷体_GBK" w:cs="方正楷体_GBK"/>
          <w:b/>
          <w:bCs/>
          <w:color w:val="auto"/>
          <w:sz w:val="28"/>
          <w:szCs w:val="28"/>
          <w:lang w:eastAsia="zh-CN"/>
        </w:rPr>
      </w:pPr>
    </w:p>
    <w:p>
      <w:pPr>
        <w:ind w:left="0" w:leftChars="0" w:firstLine="0" w:firstLineChars="0"/>
        <w:rPr>
          <w:rFonts w:hint="eastAsia" w:ascii="方正楷体_GBK" w:hAnsi="方正楷体_GBK" w:eastAsia="方正楷体_GBK" w:cs="方正楷体_GBK"/>
          <w:b/>
          <w:bCs/>
          <w:color w:val="auto"/>
          <w:sz w:val="28"/>
          <w:szCs w:val="28"/>
          <w:lang w:eastAsia="zh-CN"/>
        </w:rPr>
      </w:pPr>
    </w:p>
    <w:p>
      <w:pPr>
        <w:ind w:left="0" w:leftChars="0" w:firstLine="0" w:firstLineChars="0"/>
        <w:rPr>
          <w:rFonts w:hint="eastAsia" w:ascii="方正楷体_GBK" w:hAnsi="方正楷体_GBK" w:eastAsia="方正楷体_GBK" w:cs="方正楷体_GBK"/>
          <w:b/>
          <w:bCs/>
          <w:color w:val="auto"/>
          <w:sz w:val="28"/>
          <w:szCs w:val="28"/>
          <w:lang w:eastAsia="zh-CN"/>
        </w:rPr>
      </w:pPr>
    </w:p>
    <w:p>
      <w:pPr>
        <w:ind w:left="0" w:leftChars="0" w:firstLine="0" w:firstLineChars="0"/>
        <w:rPr>
          <w:rFonts w:hint="eastAsia" w:ascii="方正楷体_GBK" w:hAnsi="方正楷体_GBK" w:eastAsia="方正楷体_GBK" w:cs="方正楷体_GBK"/>
          <w:b/>
          <w:bCs/>
          <w:color w:val="auto"/>
          <w:sz w:val="28"/>
          <w:szCs w:val="28"/>
          <w:lang w:eastAsia="zh-CN"/>
        </w:rPr>
      </w:pPr>
    </w:p>
    <w:p>
      <w:pPr>
        <w:ind w:left="0" w:leftChars="0" w:firstLine="0" w:firstLineChars="0"/>
        <w:rPr>
          <w:rFonts w:hint="eastAsia" w:ascii="方正楷体_GBK" w:hAnsi="方正楷体_GBK" w:eastAsia="方正楷体_GBK" w:cs="方正楷体_GBK"/>
          <w:b/>
          <w:bCs/>
          <w:color w:val="auto"/>
          <w:sz w:val="28"/>
          <w:szCs w:val="28"/>
          <w:lang w:eastAsia="zh-CN"/>
        </w:rPr>
      </w:pPr>
    </w:p>
    <w:p>
      <w:pPr>
        <w:ind w:left="0" w:leftChars="0" w:firstLine="0" w:firstLineChars="0"/>
        <w:rPr>
          <w:rFonts w:hint="eastAsia" w:ascii="方正楷体_GBK" w:hAnsi="方正楷体_GBK" w:eastAsia="方正楷体_GBK" w:cs="方正楷体_GBK"/>
          <w:b/>
          <w:bCs/>
          <w:color w:val="auto"/>
          <w:sz w:val="28"/>
          <w:szCs w:val="28"/>
          <w:lang w:eastAsia="zh-CN"/>
        </w:rPr>
      </w:pPr>
    </w:p>
    <w:p>
      <w:pPr>
        <w:ind w:left="0" w:leftChars="0" w:firstLine="0" w:firstLineChars="0"/>
        <w:jc w:val="both"/>
        <w:rPr>
          <w:rFonts w:hint="eastAsia" w:ascii="方正黑体_GBK" w:hAnsi="方正黑体_GBK" w:eastAsia="方正黑体_GBK" w:cs="方正黑体_GBK"/>
          <w:b/>
          <w:bCs/>
          <w:color w:val="auto"/>
          <w:sz w:val="28"/>
          <w:szCs w:val="28"/>
          <w:lang w:eastAsia="zh-CN"/>
        </w:rPr>
      </w:pPr>
      <w:bookmarkStart w:id="256" w:name="_Toc27657_WPSOffice_Level1"/>
    </w:p>
    <w:p>
      <w:pPr>
        <w:ind w:left="0" w:leftChars="0" w:firstLine="0" w:firstLineChars="0"/>
        <w:jc w:val="both"/>
        <w:rPr>
          <w:rFonts w:hint="eastAsia" w:ascii="方正黑体_GBK" w:hAnsi="方正黑体_GBK" w:eastAsia="方正黑体_GBK" w:cs="方正黑体_GBK"/>
          <w:b/>
          <w:bCs/>
          <w:color w:val="auto"/>
          <w:sz w:val="28"/>
          <w:szCs w:val="28"/>
          <w:lang w:eastAsia="zh-CN"/>
        </w:rPr>
      </w:pPr>
    </w:p>
    <w:p>
      <w:pPr>
        <w:ind w:left="0" w:leftChars="0" w:firstLine="0" w:firstLineChars="0"/>
        <w:jc w:val="both"/>
        <w:rPr>
          <w:rFonts w:hint="eastAsia" w:ascii="方正黑体_GBK" w:hAnsi="方正黑体_GBK" w:eastAsia="方正黑体_GBK" w:cs="方正黑体_GBK"/>
          <w:b/>
          <w:bCs/>
          <w:color w:val="auto"/>
          <w:sz w:val="28"/>
          <w:szCs w:val="28"/>
          <w:lang w:eastAsia="zh-CN"/>
        </w:rPr>
      </w:pPr>
    </w:p>
    <w:p>
      <w:pPr>
        <w:ind w:left="0" w:leftChars="0" w:firstLine="0" w:firstLineChars="0"/>
        <w:jc w:val="both"/>
        <w:rPr>
          <w:rFonts w:hint="eastAsia" w:ascii="方正黑体_GBK" w:hAnsi="方正黑体_GBK" w:eastAsia="方正黑体_GBK" w:cs="方正黑体_GBK"/>
          <w:b/>
          <w:bCs/>
          <w:color w:val="auto"/>
          <w:sz w:val="28"/>
          <w:szCs w:val="28"/>
          <w:lang w:eastAsia="zh-CN"/>
        </w:rPr>
      </w:pPr>
    </w:p>
    <w:p>
      <w:pPr>
        <w:ind w:left="0" w:leftChars="0" w:firstLine="0" w:firstLineChars="0"/>
        <w:jc w:val="both"/>
        <w:rPr>
          <w:rFonts w:hint="eastAsia" w:ascii="方正黑体_GBK" w:hAnsi="方正黑体_GBK" w:eastAsia="方正黑体_GBK" w:cs="方正黑体_GBK"/>
          <w:b/>
          <w:bCs/>
          <w:color w:val="auto"/>
          <w:sz w:val="28"/>
          <w:szCs w:val="28"/>
          <w:lang w:eastAsia="zh-CN"/>
        </w:rPr>
      </w:pPr>
    </w:p>
    <w:p>
      <w:pPr>
        <w:ind w:left="0" w:leftChars="0" w:firstLine="0" w:firstLineChars="0"/>
        <w:jc w:val="both"/>
        <w:rPr>
          <w:rFonts w:hint="eastAsia" w:ascii="方正黑体_GBK" w:hAnsi="方正黑体_GBK" w:eastAsia="方正黑体_GBK" w:cs="方正黑体_GBK"/>
          <w:b/>
          <w:bCs/>
          <w:color w:val="auto"/>
          <w:sz w:val="28"/>
          <w:szCs w:val="28"/>
          <w:lang w:eastAsia="zh-CN"/>
        </w:rPr>
      </w:pPr>
    </w:p>
    <w:p>
      <w:pPr>
        <w:ind w:left="0" w:leftChars="0" w:firstLine="0" w:firstLineChars="0"/>
        <w:jc w:val="both"/>
        <w:rPr>
          <w:rFonts w:hint="eastAsia" w:ascii="方正黑体_GBK" w:hAnsi="方正黑体_GBK" w:eastAsia="方正黑体_GBK" w:cs="方正黑体_GBK"/>
          <w:b/>
          <w:bCs/>
          <w:color w:val="auto"/>
          <w:sz w:val="28"/>
          <w:szCs w:val="28"/>
          <w:lang w:eastAsia="zh-CN"/>
        </w:rPr>
      </w:pPr>
      <w:r>
        <w:rPr>
          <w:rFonts w:hint="eastAsia" w:ascii="方正黑体_GBK" w:hAnsi="方正黑体_GBK" w:eastAsia="方正黑体_GBK" w:cs="方正黑体_GBK"/>
          <w:b/>
          <w:bCs/>
          <w:color w:val="auto"/>
          <w:sz w:val="28"/>
          <w:szCs w:val="28"/>
          <w:lang w:eastAsia="zh-CN"/>
        </w:rPr>
        <w:t>附件</w:t>
      </w:r>
    </w:p>
    <w:p>
      <w:pPr>
        <w:ind w:left="0" w:leftChars="0" w:firstLine="0" w:firstLineChars="0"/>
        <w:jc w:val="center"/>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子公司安全管理资料概况</w:t>
      </w:r>
      <w:bookmarkEnd w:id="256"/>
      <w:r>
        <w:rPr>
          <w:rFonts w:hint="eastAsia" w:ascii="方正黑体_GBK" w:hAnsi="方正黑体_GBK" w:eastAsia="方正黑体_GBK" w:cs="方正黑体_GBK"/>
          <w:b/>
          <w:bCs/>
          <w:color w:val="auto"/>
          <w:sz w:val="32"/>
          <w:szCs w:val="32"/>
          <w:lang w:val="en-US" w:eastAsia="zh-CN"/>
        </w:rPr>
        <w:t>（包括但不限于）</w:t>
      </w:r>
    </w:p>
    <w:tbl>
      <w:tblPr>
        <w:tblStyle w:val="36"/>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1387"/>
        <w:gridCol w:w="3611"/>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序号</w:t>
            </w:r>
          </w:p>
        </w:tc>
        <w:tc>
          <w:tcPr>
            <w:tcW w:w="1387" w:type="dxa"/>
          </w:tcPr>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名称</w:t>
            </w:r>
          </w:p>
        </w:tc>
        <w:tc>
          <w:tcPr>
            <w:tcW w:w="3611" w:type="dxa"/>
          </w:tcPr>
          <w:p>
            <w:pPr>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内容</w:t>
            </w:r>
          </w:p>
        </w:tc>
        <w:tc>
          <w:tcPr>
            <w:tcW w:w="2370" w:type="dxa"/>
          </w:tcPr>
          <w:p>
            <w:pPr>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1</w:t>
            </w:r>
          </w:p>
        </w:tc>
        <w:tc>
          <w:tcPr>
            <w:tcW w:w="1387" w:type="dxa"/>
          </w:tcPr>
          <w:p>
            <w:pPr>
              <w:ind w:left="0" w:leftChars="0" w:firstLine="0" w:firstLineChars="0"/>
              <w:jc w:val="left"/>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安全生产目标</w:t>
            </w:r>
          </w:p>
        </w:tc>
        <w:tc>
          <w:tcPr>
            <w:tcW w:w="3611" w:type="dxa"/>
          </w:tcPr>
          <w:p>
            <w:pPr>
              <w:numPr>
                <w:ilvl w:val="0"/>
                <w:numId w:val="5"/>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年度安全目标分解及实施计划</w:t>
            </w:r>
          </w:p>
          <w:p>
            <w:pPr>
              <w:numPr>
                <w:ilvl w:val="0"/>
                <w:numId w:val="5"/>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安全生产目标考核办法</w:t>
            </w:r>
          </w:p>
          <w:p>
            <w:pPr>
              <w:numPr>
                <w:ilvl w:val="0"/>
                <w:numId w:val="5"/>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安全生产目标实施情况检查表</w:t>
            </w:r>
          </w:p>
          <w:p>
            <w:pPr>
              <w:numPr>
                <w:ilvl w:val="0"/>
                <w:numId w:val="5"/>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安全生产办目标完成效果评价报告</w:t>
            </w:r>
          </w:p>
        </w:tc>
        <w:tc>
          <w:tcPr>
            <w:tcW w:w="2370" w:type="dxa"/>
          </w:tcPr>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年初制定各部门、管理现场安全生产目标分解及实施计划；目标检查表每月1次；目标完成效果评价报告一年1次。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2</w:t>
            </w:r>
          </w:p>
        </w:tc>
        <w:tc>
          <w:tcPr>
            <w:tcW w:w="1387" w:type="dxa"/>
          </w:tcPr>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组织机构及职责</w:t>
            </w:r>
          </w:p>
        </w:tc>
        <w:tc>
          <w:tcPr>
            <w:tcW w:w="3611" w:type="dxa"/>
          </w:tcPr>
          <w:p>
            <w:pPr>
              <w:numPr>
                <w:ilvl w:val="0"/>
                <w:numId w:val="6"/>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安全生产领导小组人员文件</w:t>
            </w:r>
          </w:p>
          <w:p>
            <w:pPr>
              <w:numPr>
                <w:ilvl w:val="0"/>
                <w:numId w:val="6"/>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安全生产管理机构及人员任命、职责文件</w:t>
            </w:r>
          </w:p>
          <w:p>
            <w:pPr>
              <w:numPr>
                <w:ilvl w:val="0"/>
                <w:numId w:val="6"/>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安全生产责任制</w:t>
            </w:r>
          </w:p>
          <w:p>
            <w:pPr>
              <w:numPr>
                <w:ilvl w:val="0"/>
                <w:numId w:val="6"/>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安全生产责任制沟通、评审、修订制度</w:t>
            </w:r>
          </w:p>
          <w:p>
            <w:pPr>
              <w:numPr>
                <w:ilvl w:val="0"/>
                <w:numId w:val="6"/>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安全生产责任制培训、评审表。</w:t>
            </w:r>
          </w:p>
          <w:p>
            <w:pPr>
              <w:numPr>
                <w:ilvl w:val="0"/>
                <w:numId w:val="6"/>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部门、项目（小区、料场等项目）、员工安全生产责任书</w:t>
            </w:r>
          </w:p>
          <w:p>
            <w:pPr>
              <w:numPr>
                <w:ilvl w:val="0"/>
                <w:numId w:val="6"/>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主要负责人安全生产承诺书</w:t>
            </w:r>
          </w:p>
          <w:p>
            <w:pPr>
              <w:numPr>
                <w:ilvl w:val="0"/>
                <w:numId w:val="6"/>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部门、项目（小区、料场等项目）、员工安全生产责任考核表</w:t>
            </w:r>
          </w:p>
          <w:p>
            <w:pPr>
              <w:numPr>
                <w:ilvl w:val="0"/>
                <w:numId w:val="6"/>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安全生产领导小组例会会议记录</w:t>
            </w:r>
          </w:p>
        </w:tc>
        <w:tc>
          <w:tcPr>
            <w:tcW w:w="2370" w:type="dxa"/>
          </w:tcPr>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子公司建立专职安全管理部门及任命安全管理人员应正式发文；</w:t>
            </w:r>
          </w:p>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安全生产责任制培训每年不低于3次；</w:t>
            </w:r>
          </w:p>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各子公司主要负责人年初签订安全承诺书同时与各部门、项目（小区、料场等项目）、员工签订安全生产责任书；年末对各部门、项目（小区、料场等项目）、员工进行安全生产责任考核；</w:t>
            </w:r>
          </w:p>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安全生产领导小组例会每月1次。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3</w:t>
            </w:r>
          </w:p>
        </w:tc>
        <w:tc>
          <w:tcPr>
            <w:tcW w:w="1387" w:type="dxa"/>
          </w:tcPr>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安全投入</w:t>
            </w:r>
          </w:p>
        </w:tc>
        <w:tc>
          <w:tcPr>
            <w:tcW w:w="3611" w:type="dxa"/>
          </w:tcPr>
          <w:p>
            <w:pPr>
              <w:numPr>
                <w:ilvl w:val="0"/>
                <w:numId w:val="7"/>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安全费用提取、使用制度；</w:t>
            </w:r>
          </w:p>
          <w:p>
            <w:pPr>
              <w:numPr>
                <w:ilvl w:val="0"/>
                <w:numId w:val="7"/>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安全费用使用计划；</w:t>
            </w:r>
          </w:p>
          <w:p>
            <w:pPr>
              <w:numPr>
                <w:ilvl w:val="0"/>
                <w:numId w:val="7"/>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安全费用投入台账；</w:t>
            </w:r>
          </w:p>
        </w:tc>
        <w:tc>
          <w:tcPr>
            <w:tcW w:w="2370" w:type="dxa"/>
          </w:tcPr>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安全费用提取应按财企〔2012〕16号规定标准，在成本中列支；</w:t>
            </w:r>
          </w:p>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使用计划应在年初根据制度统筹考虑制定；</w:t>
            </w:r>
          </w:p>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安全费用台账实时更新。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4</w:t>
            </w:r>
          </w:p>
        </w:tc>
        <w:tc>
          <w:tcPr>
            <w:tcW w:w="1387" w:type="dxa"/>
          </w:tcPr>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法律法规和安全管理制度</w:t>
            </w:r>
          </w:p>
        </w:tc>
        <w:tc>
          <w:tcPr>
            <w:tcW w:w="3611" w:type="dxa"/>
          </w:tcPr>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1、法律法规识别获取制度</w:t>
            </w:r>
          </w:p>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2、安全生产适用的法律法规及其他要求清单</w:t>
            </w:r>
          </w:p>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3、各部门识别和获取的法律法规</w:t>
            </w:r>
          </w:p>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4、相关法律法规和管理制度的适用性评审表</w:t>
            </w:r>
          </w:p>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5、法律法规和管理制度的培训记录</w:t>
            </w:r>
          </w:p>
        </w:tc>
        <w:tc>
          <w:tcPr>
            <w:tcW w:w="2370" w:type="dxa"/>
          </w:tcPr>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参照总公司标准执行，培训记录每月一次。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5</w:t>
            </w:r>
          </w:p>
        </w:tc>
        <w:tc>
          <w:tcPr>
            <w:tcW w:w="1387" w:type="dxa"/>
          </w:tcPr>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教育培训</w:t>
            </w:r>
          </w:p>
        </w:tc>
        <w:tc>
          <w:tcPr>
            <w:tcW w:w="3611" w:type="dxa"/>
          </w:tcPr>
          <w:p>
            <w:pPr>
              <w:numPr>
                <w:ilvl w:val="0"/>
                <w:numId w:val="8"/>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年度教育培训计划</w:t>
            </w:r>
          </w:p>
          <w:p>
            <w:pPr>
              <w:numPr>
                <w:ilvl w:val="0"/>
                <w:numId w:val="8"/>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教育培训考核记录</w:t>
            </w:r>
          </w:p>
          <w:p>
            <w:pPr>
              <w:numPr>
                <w:ilvl w:val="0"/>
                <w:numId w:val="8"/>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新进员工的教育培训</w:t>
            </w:r>
          </w:p>
          <w:p>
            <w:pPr>
              <w:numPr>
                <w:ilvl w:val="0"/>
                <w:numId w:val="8"/>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特种作业人员花名册及相关证件、教育培训记录</w:t>
            </w:r>
          </w:p>
          <w:p>
            <w:pPr>
              <w:numPr>
                <w:ilvl w:val="0"/>
                <w:numId w:val="8"/>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日常宣传教育和活动台账</w:t>
            </w:r>
          </w:p>
        </w:tc>
        <w:tc>
          <w:tcPr>
            <w:tcW w:w="2370" w:type="dxa"/>
          </w:tcPr>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年初制定教育培训计划；</w:t>
            </w:r>
          </w:p>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教育培训每月一次；</w:t>
            </w:r>
          </w:p>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新进员工入职教育培训实时更新。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6</w:t>
            </w:r>
          </w:p>
        </w:tc>
        <w:tc>
          <w:tcPr>
            <w:tcW w:w="1387" w:type="dxa"/>
          </w:tcPr>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生产设施设备</w:t>
            </w:r>
          </w:p>
        </w:tc>
        <w:tc>
          <w:tcPr>
            <w:tcW w:w="3611" w:type="dxa"/>
          </w:tcPr>
          <w:p>
            <w:pPr>
              <w:numPr>
                <w:ilvl w:val="0"/>
                <w:numId w:val="9"/>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生产设施设备台账</w:t>
            </w:r>
          </w:p>
          <w:p>
            <w:pPr>
              <w:numPr>
                <w:ilvl w:val="0"/>
                <w:numId w:val="9"/>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特种设备台账</w:t>
            </w:r>
          </w:p>
          <w:p>
            <w:pPr>
              <w:numPr>
                <w:ilvl w:val="0"/>
                <w:numId w:val="9"/>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设备检修计划</w:t>
            </w:r>
          </w:p>
          <w:p>
            <w:pPr>
              <w:numPr>
                <w:ilvl w:val="0"/>
                <w:numId w:val="9"/>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检修方案</w:t>
            </w:r>
          </w:p>
          <w:p>
            <w:pPr>
              <w:numPr>
                <w:ilvl w:val="0"/>
                <w:numId w:val="9"/>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设备维修保养记录</w:t>
            </w:r>
          </w:p>
        </w:tc>
        <w:tc>
          <w:tcPr>
            <w:tcW w:w="2370" w:type="dxa"/>
          </w:tcPr>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自有生产设施设备需建立；</w:t>
            </w:r>
          </w:p>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维修保养记录至少每月1次；</w:t>
            </w:r>
          </w:p>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年检应在到期前3个月进行。</w:t>
            </w:r>
          </w:p>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7</w:t>
            </w:r>
          </w:p>
        </w:tc>
        <w:tc>
          <w:tcPr>
            <w:tcW w:w="1387" w:type="dxa"/>
          </w:tcPr>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作业安全</w:t>
            </w:r>
          </w:p>
        </w:tc>
        <w:tc>
          <w:tcPr>
            <w:tcW w:w="3611" w:type="dxa"/>
          </w:tcPr>
          <w:p>
            <w:pPr>
              <w:numPr>
                <w:ilvl w:val="0"/>
                <w:numId w:val="10"/>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风险识别、评价</w:t>
            </w:r>
          </w:p>
          <w:p>
            <w:pPr>
              <w:numPr>
                <w:ilvl w:val="0"/>
                <w:numId w:val="10"/>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人的不安全行为识别</w:t>
            </w:r>
          </w:p>
          <w:p>
            <w:pPr>
              <w:numPr>
                <w:ilvl w:val="0"/>
                <w:numId w:val="10"/>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作业许可证</w:t>
            </w:r>
          </w:p>
          <w:p>
            <w:pPr>
              <w:numPr>
                <w:ilvl w:val="0"/>
                <w:numId w:val="10"/>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劳动防护用品台账及发放记录</w:t>
            </w:r>
          </w:p>
          <w:p>
            <w:pPr>
              <w:numPr>
                <w:ilvl w:val="0"/>
                <w:numId w:val="10"/>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安全标志台账</w:t>
            </w:r>
          </w:p>
        </w:tc>
        <w:tc>
          <w:tcPr>
            <w:tcW w:w="2370" w:type="dxa"/>
          </w:tcPr>
          <w:p>
            <w:pPr>
              <w:numPr>
                <w:ilvl w:val="0"/>
                <w:numId w:val="0"/>
              </w:numPr>
              <w:ind w:left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识别评价应根据LEC评价法；</w:t>
            </w:r>
          </w:p>
          <w:p>
            <w:pPr>
              <w:numPr>
                <w:ilvl w:val="0"/>
                <w:numId w:val="0"/>
              </w:numPr>
              <w:ind w:left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作业许可证参考总公司标准；</w:t>
            </w:r>
          </w:p>
          <w:p>
            <w:pPr>
              <w:numPr>
                <w:ilvl w:val="0"/>
                <w:numId w:val="0"/>
              </w:numPr>
              <w:ind w:left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劳动防护用品应检测合格或具备真实可查的合格证。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8</w:t>
            </w:r>
          </w:p>
        </w:tc>
        <w:tc>
          <w:tcPr>
            <w:tcW w:w="1387" w:type="dxa"/>
          </w:tcPr>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隐患排查治理</w:t>
            </w:r>
          </w:p>
        </w:tc>
        <w:tc>
          <w:tcPr>
            <w:tcW w:w="3611" w:type="dxa"/>
          </w:tcPr>
          <w:p>
            <w:pPr>
              <w:numPr>
                <w:ilvl w:val="0"/>
                <w:numId w:val="11"/>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安全检查记录（日常、节假、季度、综合）</w:t>
            </w:r>
          </w:p>
          <w:p>
            <w:pPr>
              <w:numPr>
                <w:ilvl w:val="0"/>
                <w:numId w:val="11"/>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隐患排查治理台账</w:t>
            </w:r>
          </w:p>
          <w:p>
            <w:pPr>
              <w:numPr>
                <w:ilvl w:val="0"/>
                <w:numId w:val="11"/>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隐患治理验证与评估记录</w:t>
            </w:r>
          </w:p>
        </w:tc>
        <w:tc>
          <w:tcPr>
            <w:tcW w:w="2370" w:type="dxa"/>
          </w:tcPr>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安全检查记录、隐患排查治理台账、验证与评估记录应内容应相关可查。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9</w:t>
            </w:r>
          </w:p>
        </w:tc>
        <w:tc>
          <w:tcPr>
            <w:tcW w:w="1387" w:type="dxa"/>
          </w:tcPr>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重大危险源监控</w:t>
            </w:r>
          </w:p>
        </w:tc>
        <w:tc>
          <w:tcPr>
            <w:tcW w:w="3611" w:type="dxa"/>
          </w:tcPr>
          <w:p>
            <w:pPr>
              <w:numPr>
                <w:ilvl w:val="0"/>
                <w:numId w:val="0"/>
              </w:numPr>
              <w:ind w:left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1、重大危险源公布</w:t>
            </w:r>
          </w:p>
          <w:p>
            <w:pPr>
              <w:numPr>
                <w:ilvl w:val="0"/>
                <w:numId w:val="0"/>
              </w:numPr>
              <w:ind w:left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2、重大危险源监控、检查记录</w:t>
            </w:r>
          </w:p>
        </w:tc>
        <w:tc>
          <w:tcPr>
            <w:tcW w:w="2370" w:type="dxa"/>
          </w:tcPr>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现场应公布重大危险源重大危险源监控、检查应纳入日常安全检查内。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10</w:t>
            </w:r>
          </w:p>
        </w:tc>
        <w:tc>
          <w:tcPr>
            <w:tcW w:w="1387" w:type="dxa"/>
          </w:tcPr>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职业健康</w:t>
            </w:r>
          </w:p>
        </w:tc>
        <w:tc>
          <w:tcPr>
            <w:tcW w:w="3611" w:type="dxa"/>
          </w:tcPr>
          <w:p>
            <w:pPr>
              <w:numPr>
                <w:ilvl w:val="0"/>
                <w:numId w:val="12"/>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职业病危害因素识别记录</w:t>
            </w:r>
          </w:p>
          <w:p>
            <w:pPr>
              <w:numPr>
                <w:ilvl w:val="0"/>
                <w:numId w:val="12"/>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职业危害培训</w:t>
            </w:r>
          </w:p>
          <w:p>
            <w:pPr>
              <w:numPr>
                <w:ilvl w:val="0"/>
                <w:numId w:val="12"/>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职业病危害因素告知书</w:t>
            </w:r>
          </w:p>
          <w:p>
            <w:pPr>
              <w:numPr>
                <w:ilvl w:val="0"/>
                <w:numId w:val="12"/>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职业健康监护档案表</w:t>
            </w:r>
          </w:p>
        </w:tc>
        <w:tc>
          <w:tcPr>
            <w:tcW w:w="2370" w:type="dxa"/>
          </w:tcPr>
          <w:p>
            <w:pPr>
              <w:keepNext w:val="0"/>
              <w:keepLines w:val="0"/>
              <w:pageBreakBefore w:val="0"/>
              <w:widowControl w:val="0"/>
              <w:kinsoku/>
              <w:wordWrap w:val="0"/>
              <w:overflowPunct/>
              <w:topLinePunct w:val="0"/>
              <w:autoSpaceDE/>
              <w:autoSpaceDN/>
              <w:bidi w:val="0"/>
              <w:adjustRightInd/>
              <w:snapToGrid/>
              <w:ind w:left="0" w:leftChars="0" w:firstLine="0" w:firstLineChars="0"/>
              <w:textAlignment w:val="auto"/>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职业病危害识别参考国卫疾控发〔2013〕48号；</w:t>
            </w:r>
          </w:p>
          <w:p>
            <w:pPr>
              <w:keepNext w:val="0"/>
              <w:keepLines w:val="0"/>
              <w:pageBreakBefore w:val="0"/>
              <w:widowControl w:val="0"/>
              <w:kinsoku/>
              <w:wordWrap w:val="0"/>
              <w:overflowPunct/>
              <w:topLinePunct w:val="0"/>
              <w:autoSpaceDE/>
              <w:autoSpaceDN/>
              <w:bidi w:val="0"/>
              <w:adjustRightInd/>
              <w:snapToGrid/>
              <w:ind w:left="0" w:leftChars="0" w:firstLine="0" w:firstLineChars="0"/>
              <w:textAlignment w:val="auto"/>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对存在职业病危害的岗位应在入职前与其签订职业病危害因素告知书并定期培训；</w:t>
            </w:r>
          </w:p>
          <w:p>
            <w:pPr>
              <w:keepNext w:val="0"/>
              <w:keepLines w:val="0"/>
              <w:pageBreakBefore w:val="0"/>
              <w:widowControl w:val="0"/>
              <w:kinsoku/>
              <w:wordWrap w:val="0"/>
              <w:overflowPunct/>
              <w:topLinePunct w:val="0"/>
              <w:autoSpaceDE/>
              <w:autoSpaceDN/>
              <w:bidi w:val="0"/>
              <w:adjustRightInd/>
              <w:snapToGrid/>
              <w:ind w:left="0" w:leftChars="0" w:firstLine="0" w:firstLineChars="0"/>
              <w:textAlignment w:val="auto"/>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全体员工应建立职业健康监护档案表，入职前、离职前应将体检状况填写表内。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11</w:t>
            </w:r>
          </w:p>
        </w:tc>
        <w:tc>
          <w:tcPr>
            <w:tcW w:w="1387" w:type="dxa"/>
          </w:tcPr>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应急救援</w:t>
            </w:r>
          </w:p>
        </w:tc>
        <w:tc>
          <w:tcPr>
            <w:tcW w:w="3611" w:type="dxa"/>
          </w:tcPr>
          <w:p>
            <w:pPr>
              <w:numPr>
                <w:ilvl w:val="0"/>
                <w:numId w:val="13"/>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应急救援预案</w:t>
            </w:r>
          </w:p>
          <w:p>
            <w:pPr>
              <w:numPr>
                <w:ilvl w:val="0"/>
                <w:numId w:val="13"/>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应急救援组织机构的成立文件</w:t>
            </w:r>
          </w:p>
          <w:p>
            <w:pPr>
              <w:numPr>
                <w:ilvl w:val="0"/>
                <w:numId w:val="13"/>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应急预案演练及评审记录</w:t>
            </w:r>
          </w:p>
          <w:p>
            <w:pPr>
              <w:numPr>
                <w:ilvl w:val="0"/>
                <w:numId w:val="13"/>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应急救援物资台账</w:t>
            </w:r>
          </w:p>
          <w:p>
            <w:pPr>
              <w:numPr>
                <w:ilvl w:val="0"/>
                <w:numId w:val="13"/>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应急救援物资检查记录</w:t>
            </w:r>
          </w:p>
        </w:tc>
        <w:tc>
          <w:tcPr>
            <w:tcW w:w="2370" w:type="dxa"/>
          </w:tcPr>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应急预案组织机构应以主要负责人为第一指挥；</w:t>
            </w:r>
          </w:p>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应急救援演练每年至少组织2次。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12</w:t>
            </w:r>
          </w:p>
        </w:tc>
        <w:tc>
          <w:tcPr>
            <w:tcW w:w="1387" w:type="dxa"/>
          </w:tcPr>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事故报告和调查处理</w:t>
            </w:r>
          </w:p>
        </w:tc>
        <w:tc>
          <w:tcPr>
            <w:tcW w:w="3611" w:type="dxa"/>
          </w:tcPr>
          <w:p>
            <w:pPr>
              <w:numPr>
                <w:ilvl w:val="0"/>
                <w:numId w:val="14"/>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事故处理登记簿</w:t>
            </w:r>
          </w:p>
          <w:p>
            <w:pPr>
              <w:numPr>
                <w:ilvl w:val="0"/>
                <w:numId w:val="14"/>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事件调查分析报告</w:t>
            </w:r>
          </w:p>
          <w:p>
            <w:pPr>
              <w:numPr>
                <w:ilvl w:val="0"/>
                <w:numId w:val="14"/>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事故事件回顾记录</w:t>
            </w:r>
          </w:p>
        </w:tc>
        <w:tc>
          <w:tcPr>
            <w:tcW w:w="2370" w:type="dxa"/>
          </w:tcPr>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事故处理应按照“四不放过”原则；</w:t>
            </w:r>
          </w:p>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对已发生事故每月组织回顾学习，并做好回顾记录。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13</w:t>
            </w:r>
          </w:p>
        </w:tc>
        <w:tc>
          <w:tcPr>
            <w:tcW w:w="1387" w:type="dxa"/>
          </w:tcPr>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绩效评定和持续改进</w:t>
            </w:r>
          </w:p>
        </w:tc>
        <w:tc>
          <w:tcPr>
            <w:tcW w:w="3611" w:type="dxa"/>
          </w:tcPr>
          <w:p>
            <w:pPr>
              <w:numPr>
                <w:ilvl w:val="0"/>
                <w:numId w:val="15"/>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安全生产标准化绩效评定和持续改进报告</w:t>
            </w:r>
          </w:p>
          <w:p>
            <w:pPr>
              <w:numPr>
                <w:ilvl w:val="0"/>
                <w:numId w:val="15"/>
              </w:num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安全生产奖惩记录</w:t>
            </w:r>
          </w:p>
        </w:tc>
        <w:tc>
          <w:tcPr>
            <w:tcW w:w="2370" w:type="dxa"/>
          </w:tcPr>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每年进行一次标准化绩效评定和持续改进评审并出具报告；</w:t>
            </w:r>
          </w:p>
          <w:p>
            <w:pPr>
              <w:ind w:left="0" w:leftChars="0" w:firstLine="0" w:firstLineChars="0"/>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奖惩记录实时更新。</w:t>
            </w:r>
          </w:p>
        </w:tc>
      </w:tr>
    </w:tbl>
    <w:p>
      <w:pPr>
        <w:ind w:left="0" w:leftChars="0" w:firstLine="0" w:firstLineChars="0"/>
        <w:rPr>
          <w:rFonts w:hint="eastAsia" w:ascii="方正楷体_GBK" w:hAnsi="方正楷体_GBK" w:eastAsia="方正楷体_GBK" w:cs="方正楷体_GBK"/>
          <w:b/>
          <w:bCs/>
          <w:color w:val="auto"/>
          <w:sz w:val="28"/>
          <w:szCs w:val="28"/>
          <w:lang w:val="en-US" w:eastAsia="zh-CN"/>
        </w:rPr>
      </w:pPr>
    </w:p>
    <w:p>
      <w:pPr>
        <w:ind w:left="0" w:leftChars="0" w:firstLine="0" w:firstLineChars="0"/>
        <w:rPr>
          <w:rFonts w:hint="eastAsia" w:ascii="方正楷体_GBK" w:hAnsi="方正楷体_GBK" w:eastAsia="方正楷体_GBK" w:cs="方正楷体_GBK"/>
          <w:b/>
          <w:bCs/>
          <w:color w:val="auto"/>
          <w:sz w:val="28"/>
          <w:szCs w:val="28"/>
          <w:lang w:val="en-US" w:eastAsia="zh-CN"/>
        </w:rPr>
      </w:pPr>
    </w:p>
    <w:p>
      <w:pPr>
        <w:ind w:left="0" w:leftChars="0" w:firstLine="0" w:firstLineChars="0"/>
        <w:rPr>
          <w:rFonts w:hint="eastAsia" w:ascii="方正楷体_GBK" w:hAnsi="方正楷体_GBK" w:eastAsia="方正楷体_GBK" w:cs="方正楷体_GBK"/>
          <w:b/>
          <w:bCs/>
          <w:color w:val="auto"/>
          <w:sz w:val="28"/>
          <w:szCs w:val="28"/>
          <w:lang w:val="en-US" w:eastAsia="zh-CN"/>
        </w:rPr>
      </w:pPr>
    </w:p>
    <w:p>
      <w:pPr>
        <w:ind w:left="0" w:leftChars="0" w:firstLine="0" w:firstLineChars="0"/>
        <w:rPr>
          <w:rFonts w:hint="eastAsia" w:ascii="方正楷体_GBK" w:hAnsi="方正楷体_GBK" w:eastAsia="方正楷体_GBK" w:cs="方正楷体_GBK"/>
          <w:b/>
          <w:bCs/>
          <w:color w:val="auto"/>
          <w:sz w:val="28"/>
          <w:szCs w:val="28"/>
          <w:lang w:val="en-US" w:eastAsia="zh-CN"/>
        </w:rPr>
      </w:pPr>
    </w:p>
    <w:p>
      <w:pPr>
        <w:spacing w:before="156" w:after="156"/>
        <w:ind w:left="0" w:leftChars="0" w:firstLine="0" w:firstLineChars="0"/>
        <w:rPr>
          <w:rFonts w:hint="eastAsia" w:ascii="方正楷体_GBK" w:hAnsi="方正楷体_GBK" w:eastAsia="方正楷体_GBK" w:cs="方正楷体_GBK"/>
          <w:b/>
          <w:bCs/>
          <w:color w:val="auto"/>
          <w:sz w:val="28"/>
          <w:szCs w:val="28"/>
        </w:rPr>
      </w:pPr>
    </w:p>
    <w:sectPr>
      <w:footerReference r:id="rId12"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0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left" w:pos="0"/>
        <w:tab w:val="clear" w:pos="992"/>
      </w:tabs>
      <w:spacing w:before="120" w:after="120"/>
      <w:ind w:left="-2" w:leftChars="-1" w:hanging="1"/>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before="120" w:after="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left" w:pos="0"/>
        <w:tab w:val="clear" w:pos="992"/>
      </w:tabs>
      <w:spacing w:before="120" w:after="120"/>
      <w:ind w:left="-2" w:leftChars="-1" w:hanging="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left" w:pos="0"/>
        <w:tab w:val="clear" w:pos="992"/>
      </w:tabs>
      <w:spacing w:before="120" w:after="120"/>
      <w:ind w:left="-2" w:leftChars="-1" w:hanging="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DA8B3"/>
    <w:multiLevelType w:val="singleLevel"/>
    <w:tmpl w:val="84DDA8B3"/>
    <w:lvl w:ilvl="0" w:tentative="0">
      <w:start w:val="1"/>
      <w:numFmt w:val="decimal"/>
      <w:suff w:val="nothing"/>
      <w:lvlText w:val="%1、"/>
      <w:lvlJc w:val="left"/>
    </w:lvl>
  </w:abstractNum>
  <w:abstractNum w:abstractNumId="1">
    <w:nsid w:val="BCCD210C"/>
    <w:multiLevelType w:val="singleLevel"/>
    <w:tmpl w:val="BCCD210C"/>
    <w:lvl w:ilvl="0" w:tentative="0">
      <w:start w:val="1"/>
      <w:numFmt w:val="decimal"/>
      <w:suff w:val="nothing"/>
      <w:lvlText w:val="%1、"/>
      <w:lvlJc w:val="left"/>
    </w:lvl>
  </w:abstractNum>
  <w:abstractNum w:abstractNumId="2">
    <w:nsid w:val="D867ED5B"/>
    <w:multiLevelType w:val="singleLevel"/>
    <w:tmpl w:val="D867ED5B"/>
    <w:lvl w:ilvl="0" w:tentative="0">
      <w:start w:val="1"/>
      <w:numFmt w:val="decimal"/>
      <w:suff w:val="nothing"/>
      <w:lvlText w:val="%1、"/>
      <w:lvlJc w:val="left"/>
    </w:lvl>
  </w:abstractNum>
  <w:abstractNum w:abstractNumId="3">
    <w:nsid w:val="E8765D49"/>
    <w:multiLevelType w:val="singleLevel"/>
    <w:tmpl w:val="E8765D49"/>
    <w:lvl w:ilvl="0" w:tentative="0">
      <w:start w:val="1"/>
      <w:numFmt w:val="decimal"/>
      <w:suff w:val="nothing"/>
      <w:lvlText w:val="%1、"/>
      <w:lvlJc w:val="left"/>
    </w:lvl>
  </w:abstractNum>
  <w:abstractNum w:abstractNumId="4">
    <w:nsid w:val="00AD1D4C"/>
    <w:multiLevelType w:val="multilevel"/>
    <w:tmpl w:val="00AD1D4C"/>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5">
    <w:nsid w:val="01A257D7"/>
    <w:multiLevelType w:val="singleLevel"/>
    <w:tmpl w:val="01A257D7"/>
    <w:lvl w:ilvl="0" w:tentative="0">
      <w:start w:val="1"/>
      <w:numFmt w:val="decimal"/>
      <w:suff w:val="nothing"/>
      <w:lvlText w:val="%1、"/>
      <w:lvlJc w:val="left"/>
    </w:lvl>
  </w:abstractNum>
  <w:abstractNum w:abstractNumId="6">
    <w:nsid w:val="07DE3FAF"/>
    <w:multiLevelType w:val="singleLevel"/>
    <w:tmpl w:val="07DE3FAF"/>
    <w:lvl w:ilvl="0" w:tentative="0">
      <w:start w:val="1"/>
      <w:numFmt w:val="decimal"/>
      <w:suff w:val="nothing"/>
      <w:lvlText w:val="%1、"/>
      <w:lvlJc w:val="left"/>
    </w:lvl>
  </w:abstractNum>
  <w:abstractNum w:abstractNumId="7">
    <w:nsid w:val="0E1BCD32"/>
    <w:multiLevelType w:val="singleLevel"/>
    <w:tmpl w:val="0E1BCD32"/>
    <w:lvl w:ilvl="0" w:tentative="0">
      <w:start w:val="1"/>
      <w:numFmt w:val="decimal"/>
      <w:suff w:val="nothing"/>
      <w:lvlText w:val="%1、"/>
      <w:lvlJc w:val="left"/>
    </w:lvl>
  </w:abstractNum>
  <w:abstractNum w:abstractNumId="8">
    <w:nsid w:val="1FFF8068"/>
    <w:multiLevelType w:val="singleLevel"/>
    <w:tmpl w:val="1FFF8068"/>
    <w:lvl w:ilvl="0" w:tentative="0">
      <w:start w:val="1"/>
      <w:numFmt w:val="decimal"/>
      <w:suff w:val="nothing"/>
      <w:lvlText w:val="%1、"/>
      <w:lvlJc w:val="left"/>
    </w:lvl>
  </w:abstractNum>
  <w:abstractNum w:abstractNumId="9">
    <w:nsid w:val="4EBF275C"/>
    <w:multiLevelType w:val="singleLevel"/>
    <w:tmpl w:val="4EBF275C"/>
    <w:lvl w:ilvl="0" w:tentative="0">
      <w:start w:val="1"/>
      <w:numFmt w:val="decimal"/>
      <w:suff w:val="nothing"/>
      <w:lvlText w:val="%1、"/>
      <w:lvlJc w:val="left"/>
    </w:lvl>
  </w:abstractNum>
  <w:abstractNum w:abstractNumId="10">
    <w:nsid w:val="504755CE"/>
    <w:multiLevelType w:val="singleLevel"/>
    <w:tmpl w:val="504755CE"/>
    <w:lvl w:ilvl="0" w:tentative="0">
      <w:start w:val="1"/>
      <w:numFmt w:val="decimal"/>
      <w:suff w:val="nothing"/>
      <w:lvlText w:val="%1、"/>
      <w:lvlJc w:val="left"/>
    </w:lvl>
  </w:abstractNum>
  <w:abstractNum w:abstractNumId="11">
    <w:nsid w:val="510F7EDF"/>
    <w:multiLevelType w:val="multilevel"/>
    <w:tmpl w:val="510F7EDF"/>
    <w:lvl w:ilvl="0" w:tentative="0">
      <w:start w:val="1"/>
      <w:numFmt w:val="decimal"/>
      <w:pStyle w:val="7"/>
      <w:lvlText w:val="%1)"/>
      <w:lvlJc w:val="left"/>
      <w:pPr>
        <w:ind w:left="420" w:hanging="420"/>
      </w:pPr>
      <w:rPr>
        <w:rFonts w:hint="default" w:ascii="Times New Roman" w:hAnsi="Times New Roman" w:eastAsia="仿宋_GB2312"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42264FB"/>
    <w:multiLevelType w:val="multilevel"/>
    <w:tmpl w:val="542264FB"/>
    <w:lvl w:ilvl="0" w:tentative="0">
      <w:start w:val="121"/>
      <w:numFmt w:val="decimal"/>
      <w:pStyle w:val="82"/>
      <w:lvlText w:val="%1."/>
      <w:lvlJc w:val="left"/>
      <w:pPr>
        <w:tabs>
          <w:tab w:val="left" w:pos="720"/>
        </w:tabs>
        <w:ind w:left="720" w:hanging="720"/>
      </w:pPr>
      <w:rPr>
        <w:rFonts w:hint="eastAsia" w:ascii="Times New Roman" w:hAnsi="Times New Roman" w:cs="Times New Roman"/>
        <w:b w:val="0"/>
        <w:bCs w:val="0"/>
        <w:i w:val="0"/>
        <w:iCs w:val="0"/>
        <w:caps w:val="0"/>
        <w:strike w:val="0"/>
        <w:dstrike w:val="0"/>
        <w:vanish w:val="0"/>
        <w:color w:val="auto"/>
        <w:sz w:val="24"/>
        <w:szCs w:val="24"/>
        <w:u w:val="none"/>
        <w:vertAlign w:val="baseline"/>
      </w:rPr>
    </w:lvl>
    <w:lvl w:ilvl="1" w:tentative="0">
      <w:start w:val="1"/>
      <w:numFmt w:val="lowerLetter"/>
      <w:lvlText w:val="(%2)."/>
      <w:lvlJc w:val="left"/>
      <w:pPr>
        <w:tabs>
          <w:tab w:val="left" w:pos="839"/>
        </w:tabs>
        <w:ind w:left="839" w:hanging="419"/>
      </w:pPr>
      <w:rPr>
        <w:rFonts w:hint="eastAsia" w:cs="Times New Roman"/>
        <w:b w:val="0"/>
        <w:bCs w:val="0"/>
        <w:i w:val="0"/>
        <w:iCs w:val="0"/>
        <w:caps w:val="0"/>
        <w:strike w:val="0"/>
        <w:dstrike w:val="0"/>
        <w:vanish w:val="0"/>
        <w:color w:val="auto"/>
        <w:sz w:val="24"/>
        <w:szCs w:val="24"/>
        <w:u w:val="none"/>
        <w:vertAlign w:val="baseline"/>
      </w:rPr>
    </w:lvl>
    <w:lvl w:ilvl="2" w:tentative="0">
      <w:start w:val="1"/>
      <w:numFmt w:val="lowerRoman"/>
      <w:pStyle w:val="81"/>
      <w:lvlText w:val="(%3)"/>
      <w:lvlJc w:val="left"/>
      <w:pPr>
        <w:tabs>
          <w:tab w:val="left" w:pos="2160"/>
        </w:tabs>
        <w:ind w:left="2160" w:hanging="720"/>
      </w:pPr>
      <w:rPr>
        <w:rFonts w:hint="eastAsia" w:ascii="Times New Roman" w:hAnsi="Times New Roman" w:cs="Times New Roman"/>
        <w:b w:val="0"/>
        <w:bCs w:val="0"/>
        <w:i w:val="0"/>
        <w:iCs w:val="0"/>
        <w:caps w:val="0"/>
        <w:strike w:val="0"/>
        <w:dstrike w:val="0"/>
        <w:vanish w:val="0"/>
        <w:color w:val="auto"/>
        <w:sz w:val="24"/>
        <w:szCs w:val="24"/>
        <w:u w:val="none"/>
        <w:vertAlign w:val="baseline"/>
      </w:rPr>
    </w:lvl>
    <w:lvl w:ilvl="3" w:tentative="0">
      <w:start w:val="1"/>
      <w:numFmt w:val="upperLetter"/>
      <w:pStyle w:val="80"/>
      <w:lvlText w:val="(%4)"/>
      <w:lvlJc w:val="left"/>
      <w:pPr>
        <w:tabs>
          <w:tab w:val="left" w:pos="2880"/>
        </w:tabs>
        <w:ind w:left="2880" w:hanging="720"/>
      </w:pPr>
      <w:rPr>
        <w:rFonts w:hint="eastAsia" w:ascii="Times New Roman" w:hAnsi="Times New Roman" w:cs="Times New Roman"/>
        <w:b w:val="0"/>
        <w:bCs w:val="0"/>
        <w:i w:val="0"/>
        <w:iCs w:val="0"/>
        <w:caps w:val="0"/>
        <w:strike w:val="0"/>
        <w:dstrike w:val="0"/>
        <w:vanish w:val="0"/>
        <w:color w:val="auto"/>
        <w:sz w:val="24"/>
        <w:szCs w:val="24"/>
        <w:u w:val="none"/>
        <w:vertAlign w:val="baseline"/>
      </w:rPr>
    </w:lvl>
    <w:lvl w:ilvl="4" w:tentative="0">
      <w:start w:val="1"/>
      <w:numFmt w:val="decimal"/>
      <w:lvlText w:val="（%5）"/>
      <w:lvlJc w:val="left"/>
      <w:pPr>
        <w:tabs>
          <w:tab w:val="left" w:pos="3107"/>
        </w:tabs>
        <w:ind w:left="3107" w:hanging="227"/>
      </w:pPr>
      <w:rPr>
        <w:rFonts w:hint="default" w:cs="Times New Roman"/>
        <w:b w:val="0"/>
        <w:bCs w:val="0"/>
        <w:i w:val="0"/>
        <w:iCs w:val="0"/>
        <w:caps w:val="0"/>
        <w:strike w:val="0"/>
        <w:dstrike w:val="0"/>
        <w:vanish w:val="0"/>
        <w:color w:val="auto"/>
        <w:sz w:val="24"/>
        <w:szCs w:val="24"/>
        <w:u w:val="none"/>
        <w:vertAlign w:val="baseline"/>
      </w:rPr>
    </w:lvl>
    <w:lvl w:ilvl="5" w:tentative="0">
      <w:start w:val="1"/>
      <w:numFmt w:val="none"/>
      <w:lvlRestart w:val="0"/>
      <w:pStyle w:val="79"/>
      <w:suff w:val="nothing"/>
      <w:lvlText w:val=""/>
      <w:lvlJc w:val="left"/>
      <w:rPr>
        <w:rFonts w:hint="eastAsia" w:ascii="Times New Roman" w:hAnsi="Times New Roman" w:cs="Times New Roman"/>
        <w:b w:val="0"/>
        <w:bCs w:val="0"/>
        <w:i w:val="0"/>
        <w:iCs w:val="0"/>
        <w:caps w:val="0"/>
        <w:strike w:val="0"/>
        <w:dstrike w:val="0"/>
        <w:vanish w:val="0"/>
        <w:color w:val="auto"/>
        <w:sz w:val="24"/>
        <w:szCs w:val="24"/>
        <w:u w:val="none"/>
        <w:vertAlign w:val="baseline"/>
      </w:rPr>
    </w:lvl>
    <w:lvl w:ilvl="6" w:tentative="0">
      <w:start w:val="1"/>
      <w:numFmt w:val="none"/>
      <w:lvlRestart w:val="0"/>
      <w:pStyle w:val="78"/>
      <w:suff w:val="nothing"/>
      <w:lvlText w:val=""/>
      <w:lvlJc w:val="left"/>
      <w:rPr>
        <w:rFonts w:hint="eastAsia" w:ascii="Times New Roman" w:hAnsi="Times New Roman" w:cs="Times New Roman"/>
        <w:b w:val="0"/>
        <w:bCs w:val="0"/>
        <w:i w:val="0"/>
        <w:iCs w:val="0"/>
        <w:caps w:val="0"/>
        <w:strike w:val="0"/>
        <w:dstrike w:val="0"/>
        <w:vanish w:val="0"/>
        <w:color w:val="auto"/>
        <w:sz w:val="24"/>
        <w:szCs w:val="24"/>
        <w:u w:val="none"/>
        <w:vertAlign w:val="baseline"/>
      </w:rPr>
    </w:lvl>
    <w:lvl w:ilvl="7" w:tentative="0">
      <w:start w:val="1"/>
      <w:numFmt w:val="none"/>
      <w:lvlRestart w:val="0"/>
      <w:pStyle w:val="77"/>
      <w:suff w:val="nothing"/>
      <w:lvlText w:val=""/>
      <w:lvlJc w:val="left"/>
      <w:rPr>
        <w:rFonts w:hint="eastAsia" w:ascii="Times New Roman" w:hAnsi="Times New Roman" w:cs="Times New Roman"/>
        <w:b w:val="0"/>
        <w:bCs w:val="0"/>
        <w:i w:val="0"/>
        <w:iCs w:val="0"/>
        <w:caps w:val="0"/>
        <w:strike w:val="0"/>
        <w:dstrike w:val="0"/>
        <w:vanish w:val="0"/>
        <w:color w:val="auto"/>
        <w:sz w:val="24"/>
        <w:szCs w:val="24"/>
        <w:u w:val="none"/>
        <w:vertAlign w:val="baseline"/>
      </w:rPr>
    </w:lvl>
    <w:lvl w:ilvl="8" w:tentative="0">
      <w:start w:val="1"/>
      <w:numFmt w:val="none"/>
      <w:lvlRestart w:val="0"/>
      <w:pStyle w:val="76"/>
      <w:suff w:val="nothing"/>
      <w:lvlText w:val=""/>
      <w:lvlJc w:val="left"/>
      <w:rPr>
        <w:rFonts w:hint="eastAsia" w:ascii="Times New Roman" w:hAnsi="Times New Roman" w:cs="Times New Roman"/>
        <w:b w:val="0"/>
        <w:bCs w:val="0"/>
        <w:i w:val="0"/>
        <w:iCs w:val="0"/>
        <w:caps w:val="0"/>
        <w:strike w:val="0"/>
        <w:dstrike w:val="0"/>
        <w:vanish w:val="0"/>
        <w:color w:val="auto"/>
        <w:sz w:val="24"/>
        <w:szCs w:val="24"/>
        <w:u w:val="none"/>
        <w:vertAlign w:val="baseline"/>
      </w:rPr>
    </w:lvl>
  </w:abstractNum>
  <w:abstractNum w:abstractNumId="13">
    <w:nsid w:val="665B004D"/>
    <w:multiLevelType w:val="multilevel"/>
    <w:tmpl w:val="665B004D"/>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1715" w:hanging="864"/>
      </w:pPr>
    </w:lvl>
    <w:lvl w:ilvl="4" w:tentative="0">
      <w:start w:val="1"/>
      <w:numFmt w:val="decimal"/>
      <w:pStyle w:val="6"/>
      <w:lvlText w:val="%1.%2.%3.%4.%5"/>
      <w:lvlJc w:val="left"/>
      <w:pPr>
        <w:ind w:left="1008" w:hanging="1008"/>
      </w:pPr>
    </w:lvl>
    <w:lvl w:ilvl="5" w:tentative="0">
      <w:start w:val="1"/>
      <w:numFmt w:val="decimal"/>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4">
    <w:nsid w:val="79379510"/>
    <w:multiLevelType w:val="singleLevel"/>
    <w:tmpl w:val="79379510"/>
    <w:lvl w:ilvl="0" w:tentative="0">
      <w:start w:val="1"/>
      <w:numFmt w:val="decimal"/>
      <w:suff w:val="nothing"/>
      <w:lvlText w:val="%1、"/>
      <w:lvlJc w:val="left"/>
    </w:lvl>
  </w:abstractNum>
  <w:num w:numId="1">
    <w:abstractNumId w:val="13"/>
  </w:num>
  <w:num w:numId="2">
    <w:abstractNumId w:val="11"/>
  </w:num>
  <w:num w:numId="3">
    <w:abstractNumId w:val="12"/>
  </w:num>
  <w:num w:numId="4">
    <w:abstractNumId w:val="4"/>
  </w:num>
  <w:num w:numId="5">
    <w:abstractNumId w:val="10"/>
  </w:num>
  <w:num w:numId="6">
    <w:abstractNumId w:val="6"/>
  </w:num>
  <w:num w:numId="7">
    <w:abstractNumId w:val="14"/>
  </w:num>
  <w:num w:numId="8">
    <w:abstractNumId w:val="2"/>
  </w:num>
  <w:num w:numId="9">
    <w:abstractNumId w:val="5"/>
  </w:num>
  <w:num w:numId="10">
    <w:abstractNumId w:val="8"/>
  </w:num>
  <w:num w:numId="11">
    <w:abstractNumId w:val="0"/>
  </w:num>
  <w:num w:numId="12">
    <w:abstractNumId w:val="7"/>
  </w:num>
  <w:num w:numId="13">
    <w:abstractNumId w:val="3"/>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hYjNkZjI4MDgxZjA1Mjc0MWIyZjEyMzUxNjdlYzgifQ=="/>
  </w:docVars>
  <w:rsids>
    <w:rsidRoot w:val="002C32CA"/>
    <w:rsid w:val="00000B95"/>
    <w:rsid w:val="00000FD9"/>
    <w:rsid w:val="000013F0"/>
    <w:rsid w:val="000020DF"/>
    <w:rsid w:val="000022B2"/>
    <w:rsid w:val="00002D3C"/>
    <w:rsid w:val="00003016"/>
    <w:rsid w:val="00004C52"/>
    <w:rsid w:val="000054CF"/>
    <w:rsid w:val="000057D0"/>
    <w:rsid w:val="00007C6B"/>
    <w:rsid w:val="00007DA0"/>
    <w:rsid w:val="00010971"/>
    <w:rsid w:val="00010DD8"/>
    <w:rsid w:val="00010FE5"/>
    <w:rsid w:val="00012151"/>
    <w:rsid w:val="00012BCC"/>
    <w:rsid w:val="00013090"/>
    <w:rsid w:val="000133EB"/>
    <w:rsid w:val="00014DFB"/>
    <w:rsid w:val="00015274"/>
    <w:rsid w:val="00016DBB"/>
    <w:rsid w:val="00017904"/>
    <w:rsid w:val="00017B1C"/>
    <w:rsid w:val="00020AE7"/>
    <w:rsid w:val="00021BBE"/>
    <w:rsid w:val="00022690"/>
    <w:rsid w:val="000226CE"/>
    <w:rsid w:val="000238B5"/>
    <w:rsid w:val="00024089"/>
    <w:rsid w:val="00024137"/>
    <w:rsid w:val="00024A14"/>
    <w:rsid w:val="00025AA2"/>
    <w:rsid w:val="0002708E"/>
    <w:rsid w:val="00030795"/>
    <w:rsid w:val="00030D65"/>
    <w:rsid w:val="00033B4F"/>
    <w:rsid w:val="000347B2"/>
    <w:rsid w:val="00034E22"/>
    <w:rsid w:val="00034EEB"/>
    <w:rsid w:val="00036EFF"/>
    <w:rsid w:val="00040B84"/>
    <w:rsid w:val="00040E65"/>
    <w:rsid w:val="000413B9"/>
    <w:rsid w:val="00041561"/>
    <w:rsid w:val="00042AD2"/>
    <w:rsid w:val="00042D0A"/>
    <w:rsid w:val="00043206"/>
    <w:rsid w:val="000432B4"/>
    <w:rsid w:val="000441F5"/>
    <w:rsid w:val="00046B76"/>
    <w:rsid w:val="000475DD"/>
    <w:rsid w:val="000504F4"/>
    <w:rsid w:val="000509EE"/>
    <w:rsid w:val="00050FD9"/>
    <w:rsid w:val="00051F2F"/>
    <w:rsid w:val="0005260D"/>
    <w:rsid w:val="00053F35"/>
    <w:rsid w:val="000546B6"/>
    <w:rsid w:val="00054859"/>
    <w:rsid w:val="000554F5"/>
    <w:rsid w:val="00055B63"/>
    <w:rsid w:val="0005737C"/>
    <w:rsid w:val="0006098D"/>
    <w:rsid w:val="00060FC8"/>
    <w:rsid w:val="0006156D"/>
    <w:rsid w:val="00061C31"/>
    <w:rsid w:val="00062033"/>
    <w:rsid w:val="0006210C"/>
    <w:rsid w:val="00062660"/>
    <w:rsid w:val="00062A3A"/>
    <w:rsid w:val="00063DF4"/>
    <w:rsid w:val="0006402D"/>
    <w:rsid w:val="0006439E"/>
    <w:rsid w:val="00064457"/>
    <w:rsid w:val="00064C5A"/>
    <w:rsid w:val="00065C1B"/>
    <w:rsid w:val="00066589"/>
    <w:rsid w:val="000669AE"/>
    <w:rsid w:val="000709F0"/>
    <w:rsid w:val="00071133"/>
    <w:rsid w:val="00072433"/>
    <w:rsid w:val="000734D9"/>
    <w:rsid w:val="000738B9"/>
    <w:rsid w:val="00073FFF"/>
    <w:rsid w:val="00074C3E"/>
    <w:rsid w:val="00074E1E"/>
    <w:rsid w:val="000756EA"/>
    <w:rsid w:val="00075D88"/>
    <w:rsid w:val="0007617E"/>
    <w:rsid w:val="00076D55"/>
    <w:rsid w:val="00076D6F"/>
    <w:rsid w:val="00077765"/>
    <w:rsid w:val="0007783B"/>
    <w:rsid w:val="00081384"/>
    <w:rsid w:val="00081BA4"/>
    <w:rsid w:val="00081DB0"/>
    <w:rsid w:val="00082AFC"/>
    <w:rsid w:val="00082CC4"/>
    <w:rsid w:val="00082D0C"/>
    <w:rsid w:val="00083B6D"/>
    <w:rsid w:val="00085646"/>
    <w:rsid w:val="00087B67"/>
    <w:rsid w:val="00090B68"/>
    <w:rsid w:val="00091222"/>
    <w:rsid w:val="00091756"/>
    <w:rsid w:val="000934FE"/>
    <w:rsid w:val="00095D96"/>
    <w:rsid w:val="0009625C"/>
    <w:rsid w:val="0009698F"/>
    <w:rsid w:val="00096CBB"/>
    <w:rsid w:val="00097435"/>
    <w:rsid w:val="000A041E"/>
    <w:rsid w:val="000A0E3C"/>
    <w:rsid w:val="000A0E41"/>
    <w:rsid w:val="000A11D1"/>
    <w:rsid w:val="000A1DC2"/>
    <w:rsid w:val="000A26EA"/>
    <w:rsid w:val="000A31E6"/>
    <w:rsid w:val="000A34E7"/>
    <w:rsid w:val="000A44E6"/>
    <w:rsid w:val="000A4A26"/>
    <w:rsid w:val="000A4D04"/>
    <w:rsid w:val="000A5D33"/>
    <w:rsid w:val="000A6D6C"/>
    <w:rsid w:val="000A6E8C"/>
    <w:rsid w:val="000B119E"/>
    <w:rsid w:val="000B264B"/>
    <w:rsid w:val="000B281F"/>
    <w:rsid w:val="000B3516"/>
    <w:rsid w:val="000B3E65"/>
    <w:rsid w:val="000B3FDD"/>
    <w:rsid w:val="000B46F0"/>
    <w:rsid w:val="000B4B07"/>
    <w:rsid w:val="000B641F"/>
    <w:rsid w:val="000B71C2"/>
    <w:rsid w:val="000C0025"/>
    <w:rsid w:val="000C0446"/>
    <w:rsid w:val="000C0DEC"/>
    <w:rsid w:val="000C1060"/>
    <w:rsid w:val="000C1D2A"/>
    <w:rsid w:val="000C2F0D"/>
    <w:rsid w:val="000C31E5"/>
    <w:rsid w:val="000C5E7B"/>
    <w:rsid w:val="000C61E3"/>
    <w:rsid w:val="000D0BFA"/>
    <w:rsid w:val="000D18F3"/>
    <w:rsid w:val="000D192A"/>
    <w:rsid w:val="000D2440"/>
    <w:rsid w:val="000D401E"/>
    <w:rsid w:val="000D5514"/>
    <w:rsid w:val="000D55F9"/>
    <w:rsid w:val="000D69BA"/>
    <w:rsid w:val="000D6CA9"/>
    <w:rsid w:val="000D6E8E"/>
    <w:rsid w:val="000E14AD"/>
    <w:rsid w:val="000E1602"/>
    <w:rsid w:val="000E2364"/>
    <w:rsid w:val="000E2742"/>
    <w:rsid w:val="000E50F7"/>
    <w:rsid w:val="000E5B97"/>
    <w:rsid w:val="000E6DDA"/>
    <w:rsid w:val="000E75EC"/>
    <w:rsid w:val="000E773D"/>
    <w:rsid w:val="000E77B1"/>
    <w:rsid w:val="000E78C5"/>
    <w:rsid w:val="000E7D68"/>
    <w:rsid w:val="000F05FB"/>
    <w:rsid w:val="000F0A8D"/>
    <w:rsid w:val="000F283F"/>
    <w:rsid w:val="000F3366"/>
    <w:rsid w:val="000F39A7"/>
    <w:rsid w:val="000F3F51"/>
    <w:rsid w:val="000F4F5D"/>
    <w:rsid w:val="000F5198"/>
    <w:rsid w:val="000F537C"/>
    <w:rsid w:val="000F54CC"/>
    <w:rsid w:val="000F69A0"/>
    <w:rsid w:val="000F7477"/>
    <w:rsid w:val="000F78BC"/>
    <w:rsid w:val="0010041D"/>
    <w:rsid w:val="001019C1"/>
    <w:rsid w:val="001036DA"/>
    <w:rsid w:val="00104A18"/>
    <w:rsid w:val="00105285"/>
    <w:rsid w:val="00107568"/>
    <w:rsid w:val="0011000A"/>
    <w:rsid w:val="0011108F"/>
    <w:rsid w:val="001142B6"/>
    <w:rsid w:val="00114CA1"/>
    <w:rsid w:val="00114CDA"/>
    <w:rsid w:val="00115375"/>
    <w:rsid w:val="00115C12"/>
    <w:rsid w:val="001172A6"/>
    <w:rsid w:val="00117DAB"/>
    <w:rsid w:val="001207D1"/>
    <w:rsid w:val="001208BB"/>
    <w:rsid w:val="00120DD1"/>
    <w:rsid w:val="00121E6A"/>
    <w:rsid w:val="00122AE9"/>
    <w:rsid w:val="001251B7"/>
    <w:rsid w:val="00125828"/>
    <w:rsid w:val="00125A7F"/>
    <w:rsid w:val="0012644F"/>
    <w:rsid w:val="00131E00"/>
    <w:rsid w:val="00132CE9"/>
    <w:rsid w:val="00133E41"/>
    <w:rsid w:val="00134770"/>
    <w:rsid w:val="00135969"/>
    <w:rsid w:val="00135E73"/>
    <w:rsid w:val="00137DCB"/>
    <w:rsid w:val="00137FA3"/>
    <w:rsid w:val="00140AA1"/>
    <w:rsid w:val="00141111"/>
    <w:rsid w:val="00141C27"/>
    <w:rsid w:val="00142A64"/>
    <w:rsid w:val="0014520E"/>
    <w:rsid w:val="00145396"/>
    <w:rsid w:val="0014548F"/>
    <w:rsid w:val="00145FCC"/>
    <w:rsid w:val="001472A6"/>
    <w:rsid w:val="001472D4"/>
    <w:rsid w:val="0014794C"/>
    <w:rsid w:val="00147981"/>
    <w:rsid w:val="001505CE"/>
    <w:rsid w:val="00152746"/>
    <w:rsid w:val="00153C66"/>
    <w:rsid w:val="00155F1D"/>
    <w:rsid w:val="00156583"/>
    <w:rsid w:val="00156FE2"/>
    <w:rsid w:val="001577A5"/>
    <w:rsid w:val="001603CA"/>
    <w:rsid w:val="0016158E"/>
    <w:rsid w:val="00161593"/>
    <w:rsid w:val="00162EDE"/>
    <w:rsid w:val="0016311C"/>
    <w:rsid w:val="00163D72"/>
    <w:rsid w:val="00165914"/>
    <w:rsid w:val="001662D7"/>
    <w:rsid w:val="0016681F"/>
    <w:rsid w:val="001670E1"/>
    <w:rsid w:val="00170DA0"/>
    <w:rsid w:val="0017139F"/>
    <w:rsid w:val="001714DC"/>
    <w:rsid w:val="00171BD1"/>
    <w:rsid w:val="00171CE3"/>
    <w:rsid w:val="00173B5E"/>
    <w:rsid w:val="00176258"/>
    <w:rsid w:val="00181B56"/>
    <w:rsid w:val="00181B6D"/>
    <w:rsid w:val="00181E16"/>
    <w:rsid w:val="00181F7C"/>
    <w:rsid w:val="00183698"/>
    <w:rsid w:val="00184AA9"/>
    <w:rsid w:val="00186107"/>
    <w:rsid w:val="00186423"/>
    <w:rsid w:val="00186792"/>
    <w:rsid w:val="00187075"/>
    <w:rsid w:val="001876BE"/>
    <w:rsid w:val="00187E18"/>
    <w:rsid w:val="00191342"/>
    <w:rsid w:val="001917C0"/>
    <w:rsid w:val="001925BE"/>
    <w:rsid w:val="00192E36"/>
    <w:rsid w:val="00193000"/>
    <w:rsid w:val="00193DE2"/>
    <w:rsid w:val="001941B8"/>
    <w:rsid w:val="001945BD"/>
    <w:rsid w:val="00194AEA"/>
    <w:rsid w:val="00194D89"/>
    <w:rsid w:val="00195548"/>
    <w:rsid w:val="001957BD"/>
    <w:rsid w:val="001957EE"/>
    <w:rsid w:val="00195A3C"/>
    <w:rsid w:val="00195C81"/>
    <w:rsid w:val="00196B34"/>
    <w:rsid w:val="00196E45"/>
    <w:rsid w:val="00197339"/>
    <w:rsid w:val="001A0977"/>
    <w:rsid w:val="001A1547"/>
    <w:rsid w:val="001A23EE"/>
    <w:rsid w:val="001A24CA"/>
    <w:rsid w:val="001A3107"/>
    <w:rsid w:val="001A311F"/>
    <w:rsid w:val="001A56BD"/>
    <w:rsid w:val="001A6252"/>
    <w:rsid w:val="001A726E"/>
    <w:rsid w:val="001B122B"/>
    <w:rsid w:val="001B1416"/>
    <w:rsid w:val="001B157D"/>
    <w:rsid w:val="001B76C1"/>
    <w:rsid w:val="001B792C"/>
    <w:rsid w:val="001C0466"/>
    <w:rsid w:val="001C12E9"/>
    <w:rsid w:val="001C1682"/>
    <w:rsid w:val="001C16B9"/>
    <w:rsid w:val="001C3E08"/>
    <w:rsid w:val="001C4324"/>
    <w:rsid w:val="001C44E3"/>
    <w:rsid w:val="001C45A8"/>
    <w:rsid w:val="001C487D"/>
    <w:rsid w:val="001C51CD"/>
    <w:rsid w:val="001C5308"/>
    <w:rsid w:val="001C55D7"/>
    <w:rsid w:val="001C5AFE"/>
    <w:rsid w:val="001C6FA9"/>
    <w:rsid w:val="001C7C6C"/>
    <w:rsid w:val="001D0DAE"/>
    <w:rsid w:val="001D0F7D"/>
    <w:rsid w:val="001D2AE2"/>
    <w:rsid w:val="001D30FF"/>
    <w:rsid w:val="001D33FC"/>
    <w:rsid w:val="001D4569"/>
    <w:rsid w:val="001D502B"/>
    <w:rsid w:val="001D60BA"/>
    <w:rsid w:val="001D6926"/>
    <w:rsid w:val="001D6AA5"/>
    <w:rsid w:val="001E053A"/>
    <w:rsid w:val="001E1821"/>
    <w:rsid w:val="001E2AFC"/>
    <w:rsid w:val="001E33F0"/>
    <w:rsid w:val="001E3E60"/>
    <w:rsid w:val="001E43F8"/>
    <w:rsid w:val="001E46B2"/>
    <w:rsid w:val="001E4CF8"/>
    <w:rsid w:val="001E72EA"/>
    <w:rsid w:val="001E75F7"/>
    <w:rsid w:val="001E7837"/>
    <w:rsid w:val="001F1243"/>
    <w:rsid w:val="001F173D"/>
    <w:rsid w:val="001F1901"/>
    <w:rsid w:val="001F25FC"/>
    <w:rsid w:val="001F4A16"/>
    <w:rsid w:val="001F56F4"/>
    <w:rsid w:val="001F5BDD"/>
    <w:rsid w:val="001F6BDC"/>
    <w:rsid w:val="002001F0"/>
    <w:rsid w:val="00200332"/>
    <w:rsid w:val="00200574"/>
    <w:rsid w:val="0020138B"/>
    <w:rsid w:val="0020180E"/>
    <w:rsid w:val="002020AE"/>
    <w:rsid w:val="002021E3"/>
    <w:rsid w:val="002037AB"/>
    <w:rsid w:val="00203C7F"/>
    <w:rsid w:val="002052F5"/>
    <w:rsid w:val="00205784"/>
    <w:rsid w:val="00206496"/>
    <w:rsid w:val="002069C0"/>
    <w:rsid w:val="00207D61"/>
    <w:rsid w:val="00207DA6"/>
    <w:rsid w:val="00211809"/>
    <w:rsid w:val="00212725"/>
    <w:rsid w:val="002133DE"/>
    <w:rsid w:val="00213E1F"/>
    <w:rsid w:val="00214C13"/>
    <w:rsid w:val="002156EA"/>
    <w:rsid w:val="00216525"/>
    <w:rsid w:val="00216EEE"/>
    <w:rsid w:val="00217AD4"/>
    <w:rsid w:val="00217C51"/>
    <w:rsid w:val="00220996"/>
    <w:rsid w:val="00220B21"/>
    <w:rsid w:val="002213ED"/>
    <w:rsid w:val="002214F8"/>
    <w:rsid w:val="00221C39"/>
    <w:rsid w:val="00222670"/>
    <w:rsid w:val="0022545A"/>
    <w:rsid w:val="00225B4D"/>
    <w:rsid w:val="00227381"/>
    <w:rsid w:val="00227E66"/>
    <w:rsid w:val="00230D35"/>
    <w:rsid w:val="0023110D"/>
    <w:rsid w:val="002314FC"/>
    <w:rsid w:val="0023292C"/>
    <w:rsid w:val="00234096"/>
    <w:rsid w:val="00237E41"/>
    <w:rsid w:val="00237EB8"/>
    <w:rsid w:val="00240746"/>
    <w:rsid w:val="00240A6B"/>
    <w:rsid w:val="00241781"/>
    <w:rsid w:val="002426EB"/>
    <w:rsid w:val="00243344"/>
    <w:rsid w:val="00244019"/>
    <w:rsid w:val="00245775"/>
    <w:rsid w:val="00246572"/>
    <w:rsid w:val="00246EE6"/>
    <w:rsid w:val="002521B9"/>
    <w:rsid w:val="002544F0"/>
    <w:rsid w:val="0025502F"/>
    <w:rsid w:val="002574DD"/>
    <w:rsid w:val="00257A72"/>
    <w:rsid w:val="00260561"/>
    <w:rsid w:val="00260D8B"/>
    <w:rsid w:val="00261BB7"/>
    <w:rsid w:val="00262109"/>
    <w:rsid w:val="002624D1"/>
    <w:rsid w:val="00262F1B"/>
    <w:rsid w:val="00263CFB"/>
    <w:rsid w:val="00263FCA"/>
    <w:rsid w:val="00264998"/>
    <w:rsid w:val="00264ADC"/>
    <w:rsid w:val="002669E9"/>
    <w:rsid w:val="00266E82"/>
    <w:rsid w:val="00267C06"/>
    <w:rsid w:val="002721BC"/>
    <w:rsid w:val="00272F89"/>
    <w:rsid w:val="002730BA"/>
    <w:rsid w:val="0027376B"/>
    <w:rsid w:val="00273E7D"/>
    <w:rsid w:val="00274196"/>
    <w:rsid w:val="002746D7"/>
    <w:rsid w:val="002757B5"/>
    <w:rsid w:val="00280738"/>
    <w:rsid w:val="002809AC"/>
    <w:rsid w:val="002811B6"/>
    <w:rsid w:val="00281769"/>
    <w:rsid w:val="00281906"/>
    <w:rsid w:val="00281A5F"/>
    <w:rsid w:val="00281AE4"/>
    <w:rsid w:val="00281FC1"/>
    <w:rsid w:val="00282288"/>
    <w:rsid w:val="00283BEE"/>
    <w:rsid w:val="00284FF4"/>
    <w:rsid w:val="00285F2B"/>
    <w:rsid w:val="00286379"/>
    <w:rsid w:val="0028703C"/>
    <w:rsid w:val="00287274"/>
    <w:rsid w:val="00287E43"/>
    <w:rsid w:val="0029007B"/>
    <w:rsid w:val="00290583"/>
    <w:rsid w:val="002909ED"/>
    <w:rsid w:val="00291952"/>
    <w:rsid w:val="00293227"/>
    <w:rsid w:val="00293D87"/>
    <w:rsid w:val="00294874"/>
    <w:rsid w:val="002949FF"/>
    <w:rsid w:val="00296037"/>
    <w:rsid w:val="00296458"/>
    <w:rsid w:val="00297B4D"/>
    <w:rsid w:val="00297BED"/>
    <w:rsid w:val="002A055A"/>
    <w:rsid w:val="002A0BE1"/>
    <w:rsid w:val="002A0EA5"/>
    <w:rsid w:val="002A1E74"/>
    <w:rsid w:val="002A1F1E"/>
    <w:rsid w:val="002A2484"/>
    <w:rsid w:val="002A3734"/>
    <w:rsid w:val="002A3777"/>
    <w:rsid w:val="002A37DB"/>
    <w:rsid w:val="002A4602"/>
    <w:rsid w:val="002A696E"/>
    <w:rsid w:val="002A6B9D"/>
    <w:rsid w:val="002B07AE"/>
    <w:rsid w:val="002B1D1E"/>
    <w:rsid w:val="002B215E"/>
    <w:rsid w:val="002B258E"/>
    <w:rsid w:val="002B259E"/>
    <w:rsid w:val="002B479B"/>
    <w:rsid w:val="002B6B95"/>
    <w:rsid w:val="002B7163"/>
    <w:rsid w:val="002C014B"/>
    <w:rsid w:val="002C09CA"/>
    <w:rsid w:val="002C0E0C"/>
    <w:rsid w:val="002C18ED"/>
    <w:rsid w:val="002C1C8B"/>
    <w:rsid w:val="002C32CA"/>
    <w:rsid w:val="002C4524"/>
    <w:rsid w:val="002C5FA8"/>
    <w:rsid w:val="002C7B82"/>
    <w:rsid w:val="002C7D9C"/>
    <w:rsid w:val="002D095B"/>
    <w:rsid w:val="002D21C7"/>
    <w:rsid w:val="002D2443"/>
    <w:rsid w:val="002D25CA"/>
    <w:rsid w:val="002D270B"/>
    <w:rsid w:val="002D2D78"/>
    <w:rsid w:val="002D2E6E"/>
    <w:rsid w:val="002D3DC4"/>
    <w:rsid w:val="002D3E2C"/>
    <w:rsid w:val="002D4C15"/>
    <w:rsid w:val="002D4D5C"/>
    <w:rsid w:val="002D53BF"/>
    <w:rsid w:val="002D5A1D"/>
    <w:rsid w:val="002D6687"/>
    <w:rsid w:val="002D752A"/>
    <w:rsid w:val="002E012F"/>
    <w:rsid w:val="002E0971"/>
    <w:rsid w:val="002E14A0"/>
    <w:rsid w:val="002E1EED"/>
    <w:rsid w:val="002E38BA"/>
    <w:rsid w:val="002E3FC1"/>
    <w:rsid w:val="002E46C1"/>
    <w:rsid w:val="002E4B95"/>
    <w:rsid w:val="002E4EE0"/>
    <w:rsid w:val="002E5EF7"/>
    <w:rsid w:val="002E682D"/>
    <w:rsid w:val="002E6D0E"/>
    <w:rsid w:val="002F10C8"/>
    <w:rsid w:val="002F1B41"/>
    <w:rsid w:val="002F22B8"/>
    <w:rsid w:val="002F2C7E"/>
    <w:rsid w:val="002F2E4F"/>
    <w:rsid w:val="002F4E26"/>
    <w:rsid w:val="002F53C8"/>
    <w:rsid w:val="002F7A8A"/>
    <w:rsid w:val="00300000"/>
    <w:rsid w:val="0030007C"/>
    <w:rsid w:val="00300AC5"/>
    <w:rsid w:val="0030193A"/>
    <w:rsid w:val="00302A17"/>
    <w:rsid w:val="0030724A"/>
    <w:rsid w:val="00310591"/>
    <w:rsid w:val="00311A84"/>
    <w:rsid w:val="003121DF"/>
    <w:rsid w:val="00312AF6"/>
    <w:rsid w:val="00312D88"/>
    <w:rsid w:val="00313E44"/>
    <w:rsid w:val="0031419A"/>
    <w:rsid w:val="003147B6"/>
    <w:rsid w:val="0031527F"/>
    <w:rsid w:val="0031550A"/>
    <w:rsid w:val="00315783"/>
    <w:rsid w:val="00317744"/>
    <w:rsid w:val="00317D71"/>
    <w:rsid w:val="00317E50"/>
    <w:rsid w:val="00320140"/>
    <w:rsid w:val="00320263"/>
    <w:rsid w:val="0032368C"/>
    <w:rsid w:val="00323732"/>
    <w:rsid w:val="00324797"/>
    <w:rsid w:val="00324DE9"/>
    <w:rsid w:val="003255B4"/>
    <w:rsid w:val="00325CD2"/>
    <w:rsid w:val="00325FB8"/>
    <w:rsid w:val="00326B6C"/>
    <w:rsid w:val="00326FE9"/>
    <w:rsid w:val="0033021A"/>
    <w:rsid w:val="003310BD"/>
    <w:rsid w:val="00332583"/>
    <w:rsid w:val="00333254"/>
    <w:rsid w:val="00333602"/>
    <w:rsid w:val="00334AD8"/>
    <w:rsid w:val="003360C5"/>
    <w:rsid w:val="003361CB"/>
    <w:rsid w:val="003365C0"/>
    <w:rsid w:val="003377C1"/>
    <w:rsid w:val="003378C7"/>
    <w:rsid w:val="003400D2"/>
    <w:rsid w:val="003404EC"/>
    <w:rsid w:val="003405BA"/>
    <w:rsid w:val="00341AAB"/>
    <w:rsid w:val="00341AE8"/>
    <w:rsid w:val="00343CB6"/>
    <w:rsid w:val="00344181"/>
    <w:rsid w:val="0034445E"/>
    <w:rsid w:val="00344477"/>
    <w:rsid w:val="0034482B"/>
    <w:rsid w:val="003474D6"/>
    <w:rsid w:val="00347535"/>
    <w:rsid w:val="00347A96"/>
    <w:rsid w:val="00350522"/>
    <w:rsid w:val="00350F68"/>
    <w:rsid w:val="00351376"/>
    <w:rsid w:val="0035177E"/>
    <w:rsid w:val="003540E1"/>
    <w:rsid w:val="00357418"/>
    <w:rsid w:val="003577A8"/>
    <w:rsid w:val="00361022"/>
    <w:rsid w:val="0036288E"/>
    <w:rsid w:val="00363740"/>
    <w:rsid w:val="003655AF"/>
    <w:rsid w:val="00366438"/>
    <w:rsid w:val="00366611"/>
    <w:rsid w:val="00366F9B"/>
    <w:rsid w:val="003675D5"/>
    <w:rsid w:val="00367F66"/>
    <w:rsid w:val="003700AA"/>
    <w:rsid w:val="003712AF"/>
    <w:rsid w:val="0037270A"/>
    <w:rsid w:val="00375294"/>
    <w:rsid w:val="00375636"/>
    <w:rsid w:val="00375F2B"/>
    <w:rsid w:val="003766D9"/>
    <w:rsid w:val="003769F4"/>
    <w:rsid w:val="00380D5D"/>
    <w:rsid w:val="0038155A"/>
    <w:rsid w:val="00381D05"/>
    <w:rsid w:val="0038239A"/>
    <w:rsid w:val="003839D5"/>
    <w:rsid w:val="00384606"/>
    <w:rsid w:val="00384C8F"/>
    <w:rsid w:val="00384EBC"/>
    <w:rsid w:val="00387EB8"/>
    <w:rsid w:val="003902AD"/>
    <w:rsid w:val="00390C78"/>
    <w:rsid w:val="00391B09"/>
    <w:rsid w:val="003924A1"/>
    <w:rsid w:val="00393278"/>
    <w:rsid w:val="00393746"/>
    <w:rsid w:val="00394693"/>
    <w:rsid w:val="00395404"/>
    <w:rsid w:val="00395687"/>
    <w:rsid w:val="00395BC9"/>
    <w:rsid w:val="00395EB1"/>
    <w:rsid w:val="00396486"/>
    <w:rsid w:val="00396BB3"/>
    <w:rsid w:val="00396DA1"/>
    <w:rsid w:val="003A015E"/>
    <w:rsid w:val="003A0BFF"/>
    <w:rsid w:val="003A0E75"/>
    <w:rsid w:val="003A1B3B"/>
    <w:rsid w:val="003A1C81"/>
    <w:rsid w:val="003A428E"/>
    <w:rsid w:val="003A4877"/>
    <w:rsid w:val="003A4B89"/>
    <w:rsid w:val="003A546A"/>
    <w:rsid w:val="003B19B2"/>
    <w:rsid w:val="003B2C12"/>
    <w:rsid w:val="003B34D2"/>
    <w:rsid w:val="003B45CA"/>
    <w:rsid w:val="003B583C"/>
    <w:rsid w:val="003B5ACA"/>
    <w:rsid w:val="003B5AED"/>
    <w:rsid w:val="003B5B1B"/>
    <w:rsid w:val="003B6897"/>
    <w:rsid w:val="003B689E"/>
    <w:rsid w:val="003C073D"/>
    <w:rsid w:val="003C0769"/>
    <w:rsid w:val="003C1499"/>
    <w:rsid w:val="003C1BC5"/>
    <w:rsid w:val="003C1BEF"/>
    <w:rsid w:val="003C20E1"/>
    <w:rsid w:val="003C28CC"/>
    <w:rsid w:val="003C791D"/>
    <w:rsid w:val="003D0974"/>
    <w:rsid w:val="003D0BEE"/>
    <w:rsid w:val="003D0DA0"/>
    <w:rsid w:val="003D149B"/>
    <w:rsid w:val="003D17EE"/>
    <w:rsid w:val="003D1ACA"/>
    <w:rsid w:val="003D3876"/>
    <w:rsid w:val="003D3F6D"/>
    <w:rsid w:val="003D40AD"/>
    <w:rsid w:val="003D471B"/>
    <w:rsid w:val="003D5FF1"/>
    <w:rsid w:val="003D6538"/>
    <w:rsid w:val="003D6944"/>
    <w:rsid w:val="003D6B5C"/>
    <w:rsid w:val="003D6C87"/>
    <w:rsid w:val="003E04A9"/>
    <w:rsid w:val="003E0762"/>
    <w:rsid w:val="003E2A70"/>
    <w:rsid w:val="003E2BFF"/>
    <w:rsid w:val="003E2CCF"/>
    <w:rsid w:val="003E3D24"/>
    <w:rsid w:val="003E4A4D"/>
    <w:rsid w:val="003E7846"/>
    <w:rsid w:val="003E7FFA"/>
    <w:rsid w:val="003F0291"/>
    <w:rsid w:val="003F0F08"/>
    <w:rsid w:val="003F1339"/>
    <w:rsid w:val="003F15FB"/>
    <w:rsid w:val="003F1EA5"/>
    <w:rsid w:val="003F370F"/>
    <w:rsid w:val="003F66EA"/>
    <w:rsid w:val="003F674F"/>
    <w:rsid w:val="003F7D66"/>
    <w:rsid w:val="004003A0"/>
    <w:rsid w:val="0040095A"/>
    <w:rsid w:val="00400D88"/>
    <w:rsid w:val="00400E85"/>
    <w:rsid w:val="00401BE0"/>
    <w:rsid w:val="00401E44"/>
    <w:rsid w:val="0040337B"/>
    <w:rsid w:val="00404456"/>
    <w:rsid w:val="00405248"/>
    <w:rsid w:val="004052AE"/>
    <w:rsid w:val="00405AA5"/>
    <w:rsid w:val="00406129"/>
    <w:rsid w:val="00406211"/>
    <w:rsid w:val="0040640E"/>
    <w:rsid w:val="00406F5E"/>
    <w:rsid w:val="00410A44"/>
    <w:rsid w:val="004115B0"/>
    <w:rsid w:val="00411AE3"/>
    <w:rsid w:val="00411B13"/>
    <w:rsid w:val="00412F68"/>
    <w:rsid w:val="00413C4D"/>
    <w:rsid w:val="00414081"/>
    <w:rsid w:val="004143CD"/>
    <w:rsid w:val="004166D3"/>
    <w:rsid w:val="0042029E"/>
    <w:rsid w:val="004205B7"/>
    <w:rsid w:val="004215D0"/>
    <w:rsid w:val="004216D5"/>
    <w:rsid w:val="004223EB"/>
    <w:rsid w:val="00423CD3"/>
    <w:rsid w:val="00424842"/>
    <w:rsid w:val="00425696"/>
    <w:rsid w:val="00425D3B"/>
    <w:rsid w:val="004267B9"/>
    <w:rsid w:val="004271BD"/>
    <w:rsid w:val="00427D37"/>
    <w:rsid w:val="004303CB"/>
    <w:rsid w:val="004308BA"/>
    <w:rsid w:val="00430A96"/>
    <w:rsid w:val="00430CBF"/>
    <w:rsid w:val="004325A8"/>
    <w:rsid w:val="00432DAA"/>
    <w:rsid w:val="00434E38"/>
    <w:rsid w:val="00435E05"/>
    <w:rsid w:val="00435F5F"/>
    <w:rsid w:val="004373AE"/>
    <w:rsid w:val="00437CAF"/>
    <w:rsid w:val="00440CD3"/>
    <w:rsid w:val="00441DA3"/>
    <w:rsid w:val="004420E2"/>
    <w:rsid w:val="004424CD"/>
    <w:rsid w:val="00442F60"/>
    <w:rsid w:val="004459D2"/>
    <w:rsid w:val="0045050F"/>
    <w:rsid w:val="00451175"/>
    <w:rsid w:val="0045138E"/>
    <w:rsid w:val="00452773"/>
    <w:rsid w:val="00452EA8"/>
    <w:rsid w:val="004541BC"/>
    <w:rsid w:val="00454673"/>
    <w:rsid w:val="00454891"/>
    <w:rsid w:val="00455B11"/>
    <w:rsid w:val="00455EA8"/>
    <w:rsid w:val="004563F7"/>
    <w:rsid w:val="00461749"/>
    <w:rsid w:val="00462528"/>
    <w:rsid w:val="004636B8"/>
    <w:rsid w:val="00463B0C"/>
    <w:rsid w:val="00463EA2"/>
    <w:rsid w:val="00464703"/>
    <w:rsid w:val="00464BBC"/>
    <w:rsid w:val="0046542B"/>
    <w:rsid w:val="00471415"/>
    <w:rsid w:val="00471BAC"/>
    <w:rsid w:val="00471CF9"/>
    <w:rsid w:val="00471D56"/>
    <w:rsid w:val="004724C3"/>
    <w:rsid w:val="0047252A"/>
    <w:rsid w:val="00472DC5"/>
    <w:rsid w:val="00473B42"/>
    <w:rsid w:val="00473B52"/>
    <w:rsid w:val="0047465C"/>
    <w:rsid w:val="00474F0C"/>
    <w:rsid w:val="00475512"/>
    <w:rsid w:val="0047679E"/>
    <w:rsid w:val="00477E8D"/>
    <w:rsid w:val="004807E3"/>
    <w:rsid w:val="00480DCA"/>
    <w:rsid w:val="00481615"/>
    <w:rsid w:val="0048373D"/>
    <w:rsid w:val="00484227"/>
    <w:rsid w:val="00485ACA"/>
    <w:rsid w:val="00485BAB"/>
    <w:rsid w:val="00486A6D"/>
    <w:rsid w:val="004870F0"/>
    <w:rsid w:val="004872DA"/>
    <w:rsid w:val="00487913"/>
    <w:rsid w:val="0049385C"/>
    <w:rsid w:val="00493A86"/>
    <w:rsid w:val="00494CC1"/>
    <w:rsid w:val="004955F1"/>
    <w:rsid w:val="004971A1"/>
    <w:rsid w:val="0049759D"/>
    <w:rsid w:val="004A09EC"/>
    <w:rsid w:val="004A122D"/>
    <w:rsid w:val="004A14ED"/>
    <w:rsid w:val="004A1806"/>
    <w:rsid w:val="004A3154"/>
    <w:rsid w:val="004A37D3"/>
    <w:rsid w:val="004A467D"/>
    <w:rsid w:val="004A4D8F"/>
    <w:rsid w:val="004A52C7"/>
    <w:rsid w:val="004A623A"/>
    <w:rsid w:val="004A6261"/>
    <w:rsid w:val="004A719E"/>
    <w:rsid w:val="004A7709"/>
    <w:rsid w:val="004B1A31"/>
    <w:rsid w:val="004C2690"/>
    <w:rsid w:val="004C4185"/>
    <w:rsid w:val="004C49DC"/>
    <w:rsid w:val="004C6B83"/>
    <w:rsid w:val="004C7F4D"/>
    <w:rsid w:val="004D0B48"/>
    <w:rsid w:val="004D1702"/>
    <w:rsid w:val="004D2838"/>
    <w:rsid w:val="004D3785"/>
    <w:rsid w:val="004D47A3"/>
    <w:rsid w:val="004D5DFB"/>
    <w:rsid w:val="004D647D"/>
    <w:rsid w:val="004E29BA"/>
    <w:rsid w:val="004E470E"/>
    <w:rsid w:val="004E49B9"/>
    <w:rsid w:val="004E516C"/>
    <w:rsid w:val="004E5247"/>
    <w:rsid w:val="004E5C4F"/>
    <w:rsid w:val="004E5EA2"/>
    <w:rsid w:val="004E5EC8"/>
    <w:rsid w:val="004E5FB8"/>
    <w:rsid w:val="004E6E6C"/>
    <w:rsid w:val="004F170B"/>
    <w:rsid w:val="004F5424"/>
    <w:rsid w:val="004F66FD"/>
    <w:rsid w:val="004F6994"/>
    <w:rsid w:val="004F710E"/>
    <w:rsid w:val="004F73F3"/>
    <w:rsid w:val="004F7D98"/>
    <w:rsid w:val="00502189"/>
    <w:rsid w:val="00503CE6"/>
    <w:rsid w:val="00505BA3"/>
    <w:rsid w:val="00506004"/>
    <w:rsid w:val="005076AE"/>
    <w:rsid w:val="00510604"/>
    <w:rsid w:val="00510E21"/>
    <w:rsid w:val="00512A65"/>
    <w:rsid w:val="00514142"/>
    <w:rsid w:val="0051429F"/>
    <w:rsid w:val="0051641F"/>
    <w:rsid w:val="005164C0"/>
    <w:rsid w:val="00517803"/>
    <w:rsid w:val="0052154B"/>
    <w:rsid w:val="00522CD7"/>
    <w:rsid w:val="00522FAF"/>
    <w:rsid w:val="00523B5C"/>
    <w:rsid w:val="00525686"/>
    <w:rsid w:val="00526AB5"/>
    <w:rsid w:val="00530036"/>
    <w:rsid w:val="005303DB"/>
    <w:rsid w:val="005307E9"/>
    <w:rsid w:val="00531392"/>
    <w:rsid w:val="00531574"/>
    <w:rsid w:val="005322B8"/>
    <w:rsid w:val="00532A76"/>
    <w:rsid w:val="00532C3B"/>
    <w:rsid w:val="00532D68"/>
    <w:rsid w:val="00533932"/>
    <w:rsid w:val="00533984"/>
    <w:rsid w:val="005339AD"/>
    <w:rsid w:val="005355F5"/>
    <w:rsid w:val="00536AD2"/>
    <w:rsid w:val="00536D72"/>
    <w:rsid w:val="00537094"/>
    <w:rsid w:val="0053726E"/>
    <w:rsid w:val="00537392"/>
    <w:rsid w:val="00537569"/>
    <w:rsid w:val="0054058E"/>
    <w:rsid w:val="00540B95"/>
    <w:rsid w:val="00542987"/>
    <w:rsid w:val="00545270"/>
    <w:rsid w:val="0054588F"/>
    <w:rsid w:val="00545C0A"/>
    <w:rsid w:val="00546223"/>
    <w:rsid w:val="00546782"/>
    <w:rsid w:val="00547AC8"/>
    <w:rsid w:val="005526D3"/>
    <w:rsid w:val="00552E79"/>
    <w:rsid w:val="00554D66"/>
    <w:rsid w:val="00555F3B"/>
    <w:rsid w:val="00555F88"/>
    <w:rsid w:val="00556428"/>
    <w:rsid w:val="005567C2"/>
    <w:rsid w:val="00556A84"/>
    <w:rsid w:val="00556C15"/>
    <w:rsid w:val="0056018B"/>
    <w:rsid w:val="005602CF"/>
    <w:rsid w:val="00561378"/>
    <w:rsid w:val="00564596"/>
    <w:rsid w:val="005657CF"/>
    <w:rsid w:val="00566B14"/>
    <w:rsid w:val="00567403"/>
    <w:rsid w:val="005706D3"/>
    <w:rsid w:val="005709BA"/>
    <w:rsid w:val="00571739"/>
    <w:rsid w:val="005721E2"/>
    <w:rsid w:val="00572D44"/>
    <w:rsid w:val="0057318F"/>
    <w:rsid w:val="005736D7"/>
    <w:rsid w:val="0057656F"/>
    <w:rsid w:val="00576EB9"/>
    <w:rsid w:val="0058240D"/>
    <w:rsid w:val="00582523"/>
    <w:rsid w:val="00582A5E"/>
    <w:rsid w:val="00582B0D"/>
    <w:rsid w:val="0058360A"/>
    <w:rsid w:val="00583F82"/>
    <w:rsid w:val="00585568"/>
    <w:rsid w:val="005905E6"/>
    <w:rsid w:val="005908E0"/>
    <w:rsid w:val="00590A6A"/>
    <w:rsid w:val="00590C22"/>
    <w:rsid w:val="005926E7"/>
    <w:rsid w:val="00593500"/>
    <w:rsid w:val="00596582"/>
    <w:rsid w:val="005970A4"/>
    <w:rsid w:val="00597F2C"/>
    <w:rsid w:val="005A2C54"/>
    <w:rsid w:val="005A2FC6"/>
    <w:rsid w:val="005A3049"/>
    <w:rsid w:val="005A3DE1"/>
    <w:rsid w:val="005A41D6"/>
    <w:rsid w:val="005A458E"/>
    <w:rsid w:val="005A5A11"/>
    <w:rsid w:val="005A6016"/>
    <w:rsid w:val="005A7DD5"/>
    <w:rsid w:val="005B007B"/>
    <w:rsid w:val="005B0739"/>
    <w:rsid w:val="005B0A02"/>
    <w:rsid w:val="005B18E8"/>
    <w:rsid w:val="005B1C8F"/>
    <w:rsid w:val="005B207F"/>
    <w:rsid w:val="005B3984"/>
    <w:rsid w:val="005B5957"/>
    <w:rsid w:val="005B75D3"/>
    <w:rsid w:val="005B7C65"/>
    <w:rsid w:val="005C08B1"/>
    <w:rsid w:val="005C1015"/>
    <w:rsid w:val="005C122F"/>
    <w:rsid w:val="005C19BC"/>
    <w:rsid w:val="005C1E79"/>
    <w:rsid w:val="005C1E96"/>
    <w:rsid w:val="005C2DCE"/>
    <w:rsid w:val="005C3343"/>
    <w:rsid w:val="005C399A"/>
    <w:rsid w:val="005C3AA8"/>
    <w:rsid w:val="005C3C14"/>
    <w:rsid w:val="005C4516"/>
    <w:rsid w:val="005C5483"/>
    <w:rsid w:val="005D0078"/>
    <w:rsid w:val="005D1E04"/>
    <w:rsid w:val="005D3A02"/>
    <w:rsid w:val="005D547E"/>
    <w:rsid w:val="005D57DF"/>
    <w:rsid w:val="005D5C3A"/>
    <w:rsid w:val="005D6519"/>
    <w:rsid w:val="005D7B68"/>
    <w:rsid w:val="005E2AB4"/>
    <w:rsid w:val="005E3A68"/>
    <w:rsid w:val="005E6554"/>
    <w:rsid w:val="005E6B0E"/>
    <w:rsid w:val="005E7018"/>
    <w:rsid w:val="005F0445"/>
    <w:rsid w:val="005F0F19"/>
    <w:rsid w:val="005F38C6"/>
    <w:rsid w:val="005F3C72"/>
    <w:rsid w:val="005F4992"/>
    <w:rsid w:val="005F7ADA"/>
    <w:rsid w:val="006005A7"/>
    <w:rsid w:val="00601FBA"/>
    <w:rsid w:val="00602AE0"/>
    <w:rsid w:val="00602D17"/>
    <w:rsid w:val="00607024"/>
    <w:rsid w:val="006070E4"/>
    <w:rsid w:val="00607267"/>
    <w:rsid w:val="00607571"/>
    <w:rsid w:val="006120E1"/>
    <w:rsid w:val="00612C2E"/>
    <w:rsid w:val="00612F0F"/>
    <w:rsid w:val="0061309A"/>
    <w:rsid w:val="00613446"/>
    <w:rsid w:val="00613828"/>
    <w:rsid w:val="006148D2"/>
    <w:rsid w:val="0061564A"/>
    <w:rsid w:val="00615C53"/>
    <w:rsid w:val="00616D6C"/>
    <w:rsid w:val="00616E52"/>
    <w:rsid w:val="00616E8A"/>
    <w:rsid w:val="006209E7"/>
    <w:rsid w:val="006215A7"/>
    <w:rsid w:val="006223A7"/>
    <w:rsid w:val="006230F3"/>
    <w:rsid w:val="00623B68"/>
    <w:rsid w:val="006263BD"/>
    <w:rsid w:val="0063133F"/>
    <w:rsid w:val="006317D9"/>
    <w:rsid w:val="00631B57"/>
    <w:rsid w:val="00631C40"/>
    <w:rsid w:val="006332FD"/>
    <w:rsid w:val="00633B01"/>
    <w:rsid w:val="0063445A"/>
    <w:rsid w:val="00634784"/>
    <w:rsid w:val="00634DD8"/>
    <w:rsid w:val="006355FA"/>
    <w:rsid w:val="00636144"/>
    <w:rsid w:val="0063656D"/>
    <w:rsid w:val="00636876"/>
    <w:rsid w:val="0064000E"/>
    <w:rsid w:val="006403CF"/>
    <w:rsid w:val="006415C8"/>
    <w:rsid w:val="0064165D"/>
    <w:rsid w:val="00643721"/>
    <w:rsid w:val="00644457"/>
    <w:rsid w:val="0064467B"/>
    <w:rsid w:val="006461DD"/>
    <w:rsid w:val="006462BE"/>
    <w:rsid w:val="00646DD3"/>
    <w:rsid w:val="00647009"/>
    <w:rsid w:val="00650268"/>
    <w:rsid w:val="006502E3"/>
    <w:rsid w:val="006502FA"/>
    <w:rsid w:val="00650BB6"/>
    <w:rsid w:val="006515A5"/>
    <w:rsid w:val="00651655"/>
    <w:rsid w:val="00652157"/>
    <w:rsid w:val="00652250"/>
    <w:rsid w:val="00652DB8"/>
    <w:rsid w:val="00654A93"/>
    <w:rsid w:val="0065594A"/>
    <w:rsid w:val="00655A77"/>
    <w:rsid w:val="00657A80"/>
    <w:rsid w:val="00660569"/>
    <w:rsid w:val="00661801"/>
    <w:rsid w:val="00661960"/>
    <w:rsid w:val="00662938"/>
    <w:rsid w:val="006629EA"/>
    <w:rsid w:val="00662D48"/>
    <w:rsid w:val="00665390"/>
    <w:rsid w:val="00665813"/>
    <w:rsid w:val="006666F4"/>
    <w:rsid w:val="0066684F"/>
    <w:rsid w:val="006678A2"/>
    <w:rsid w:val="00667A92"/>
    <w:rsid w:val="00667C68"/>
    <w:rsid w:val="0067003A"/>
    <w:rsid w:val="006704D4"/>
    <w:rsid w:val="006706E6"/>
    <w:rsid w:val="0067097D"/>
    <w:rsid w:val="0067154B"/>
    <w:rsid w:val="00671D77"/>
    <w:rsid w:val="00672722"/>
    <w:rsid w:val="00673753"/>
    <w:rsid w:val="00673D50"/>
    <w:rsid w:val="00674232"/>
    <w:rsid w:val="00674367"/>
    <w:rsid w:val="0067440C"/>
    <w:rsid w:val="006744F1"/>
    <w:rsid w:val="00674A61"/>
    <w:rsid w:val="00675018"/>
    <w:rsid w:val="006750A8"/>
    <w:rsid w:val="006750D2"/>
    <w:rsid w:val="006753E6"/>
    <w:rsid w:val="00675E72"/>
    <w:rsid w:val="00675FF8"/>
    <w:rsid w:val="00676329"/>
    <w:rsid w:val="00677BD2"/>
    <w:rsid w:val="006801EB"/>
    <w:rsid w:val="00680A95"/>
    <w:rsid w:val="0068157C"/>
    <w:rsid w:val="0068602D"/>
    <w:rsid w:val="00686701"/>
    <w:rsid w:val="0068773D"/>
    <w:rsid w:val="00690F9E"/>
    <w:rsid w:val="00691DB7"/>
    <w:rsid w:val="00694509"/>
    <w:rsid w:val="006946BA"/>
    <w:rsid w:val="006958DF"/>
    <w:rsid w:val="00695D33"/>
    <w:rsid w:val="0069714E"/>
    <w:rsid w:val="006A00C3"/>
    <w:rsid w:val="006A07C3"/>
    <w:rsid w:val="006A0E5C"/>
    <w:rsid w:val="006A1143"/>
    <w:rsid w:val="006A2B83"/>
    <w:rsid w:val="006A2D5E"/>
    <w:rsid w:val="006A304C"/>
    <w:rsid w:val="006A6AA1"/>
    <w:rsid w:val="006A7070"/>
    <w:rsid w:val="006A7293"/>
    <w:rsid w:val="006B06C5"/>
    <w:rsid w:val="006B09A7"/>
    <w:rsid w:val="006B2401"/>
    <w:rsid w:val="006B2A1E"/>
    <w:rsid w:val="006B2C87"/>
    <w:rsid w:val="006B40DC"/>
    <w:rsid w:val="006B454E"/>
    <w:rsid w:val="006B5EF2"/>
    <w:rsid w:val="006B6C4C"/>
    <w:rsid w:val="006B6F01"/>
    <w:rsid w:val="006B79CE"/>
    <w:rsid w:val="006C053F"/>
    <w:rsid w:val="006C0CA1"/>
    <w:rsid w:val="006C0CE1"/>
    <w:rsid w:val="006C19B5"/>
    <w:rsid w:val="006C344B"/>
    <w:rsid w:val="006C388B"/>
    <w:rsid w:val="006C38D0"/>
    <w:rsid w:val="006C3EBA"/>
    <w:rsid w:val="006C4B46"/>
    <w:rsid w:val="006C4B9D"/>
    <w:rsid w:val="006C5B92"/>
    <w:rsid w:val="006C6766"/>
    <w:rsid w:val="006C6C1D"/>
    <w:rsid w:val="006C765D"/>
    <w:rsid w:val="006D0CAF"/>
    <w:rsid w:val="006D1633"/>
    <w:rsid w:val="006D19DA"/>
    <w:rsid w:val="006D2DDF"/>
    <w:rsid w:val="006D3249"/>
    <w:rsid w:val="006D3C96"/>
    <w:rsid w:val="006D4439"/>
    <w:rsid w:val="006D4581"/>
    <w:rsid w:val="006D51C5"/>
    <w:rsid w:val="006D63DB"/>
    <w:rsid w:val="006D6555"/>
    <w:rsid w:val="006D691B"/>
    <w:rsid w:val="006E1E70"/>
    <w:rsid w:val="006E1E8D"/>
    <w:rsid w:val="006E2971"/>
    <w:rsid w:val="006E301D"/>
    <w:rsid w:val="006E31DA"/>
    <w:rsid w:val="006E3E85"/>
    <w:rsid w:val="006E41A3"/>
    <w:rsid w:val="006E4577"/>
    <w:rsid w:val="006E5070"/>
    <w:rsid w:val="006E5165"/>
    <w:rsid w:val="006E5BF8"/>
    <w:rsid w:val="006E6DE0"/>
    <w:rsid w:val="006E7483"/>
    <w:rsid w:val="006F1489"/>
    <w:rsid w:val="006F1728"/>
    <w:rsid w:val="006F22DA"/>
    <w:rsid w:val="006F2596"/>
    <w:rsid w:val="006F27F1"/>
    <w:rsid w:val="006F37AA"/>
    <w:rsid w:val="006F5AFC"/>
    <w:rsid w:val="006F5D4C"/>
    <w:rsid w:val="006F7596"/>
    <w:rsid w:val="006F778C"/>
    <w:rsid w:val="006F7B0A"/>
    <w:rsid w:val="00700ADB"/>
    <w:rsid w:val="007026F5"/>
    <w:rsid w:val="00703837"/>
    <w:rsid w:val="007038A8"/>
    <w:rsid w:val="00703A45"/>
    <w:rsid w:val="00704403"/>
    <w:rsid w:val="00705850"/>
    <w:rsid w:val="007061BC"/>
    <w:rsid w:val="00706F3E"/>
    <w:rsid w:val="007102CD"/>
    <w:rsid w:val="007108E3"/>
    <w:rsid w:val="0071107D"/>
    <w:rsid w:val="00711723"/>
    <w:rsid w:val="00711C10"/>
    <w:rsid w:val="007122C8"/>
    <w:rsid w:val="00713595"/>
    <w:rsid w:val="00715A7F"/>
    <w:rsid w:val="00715FAC"/>
    <w:rsid w:val="00715FF0"/>
    <w:rsid w:val="00716007"/>
    <w:rsid w:val="00721E39"/>
    <w:rsid w:val="00722FCF"/>
    <w:rsid w:val="007236AE"/>
    <w:rsid w:val="00723EA9"/>
    <w:rsid w:val="007240A5"/>
    <w:rsid w:val="00724D55"/>
    <w:rsid w:val="00725A65"/>
    <w:rsid w:val="00726293"/>
    <w:rsid w:val="00726ECD"/>
    <w:rsid w:val="0072765E"/>
    <w:rsid w:val="00727B88"/>
    <w:rsid w:val="00727F9F"/>
    <w:rsid w:val="007302F3"/>
    <w:rsid w:val="0073079C"/>
    <w:rsid w:val="00730853"/>
    <w:rsid w:val="00730AD5"/>
    <w:rsid w:val="00730C0E"/>
    <w:rsid w:val="00730C6E"/>
    <w:rsid w:val="00731191"/>
    <w:rsid w:val="00731B01"/>
    <w:rsid w:val="00732A03"/>
    <w:rsid w:val="007343AC"/>
    <w:rsid w:val="007354D3"/>
    <w:rsid w:val="0073666F"/>
    <w:rsid w:val="00736967"/>
    <w:rsid w:val="00736E17"/>
    <w:rsid w:val="00737492"/>
    <w:rsid w:val="00737831"/>
    <w:rsid w:val="007401B3"/>
    <w:rsid w:val="00740950"/>
    <w:rsid w:val="007409EF"/>
    <w:rsid w:val="00740B2A"/>
    <w:rsid w:val="007416FF"/>
    <w:rsid w:val="00741AD0"/>
    <w:rsid w:val="007421F3"/>
    <w:rsid w:val="007425E2"/>
    <w:rsid w:val="007427CB"/>
    <w:rsid w:val="007432B7"/>
    <w:rsid w:val="00743597"/>
    <w:rsid w:val="00746869"/>
    <w:rsid w:val="0074692C"/>
    <w:rsid w:val="00747224"/>
    <w:rsid w:val="00747259"/>
    <w:rsid w:val="00750968"/>
    <w:rsid w:val="007521C8"/>
    <w:rsid w:val="007526A4"/>
    <w:rsid w:val="00752F8B"/>
    <w:rsid w:val="007540EE"/>
    <w:rsid w:val="00754DD2"/>
    <w:rsid w:val="007560CB"/>
    <w:rsid w:val="00756417"/>
    <w:rsid w:val="007600AE"/>
    <w:rsid w:val="00760E16"/>
    <w:rsid w:val="007618AF"/>
    <w:rsid w:val="00761E29"/>
    <w:rsid w:val="00762701"/>
    <w:rsid w:val="007627F0"/>
    <w:rsid w:val="00763442"/>
    <w:rsid w:val="007636FB"/>
    <w:rsid w:val="00763F0F"/>
    <w:rsid w:val="00764795"/>
    <w:rsid w:val="00765BC2"/>
    <w:rsid w:val="00766783"/>
    <w:rsid w:val="00770135"/>
    <w:rsid w:val="00770E47"/>
    <w:rsid w:val="00771950"/>
    <w:rsid w:val="00771D6F"/>
    <w:rsid w:val="00772048"/>
    <w:rsid w:val="00772AE9"/>
    <w:rsid w:val="00773E5D"/>
    <w:rsid w:val="00773EF4"/>
    <w:rsid w:val="00774A9B"/>
    <w:rsid w:val="00775E01"/>
    <w:rsid w:val="00776729"/>
    <w:rsid w:val="00776927"/>
    <w:rsid w:val="00776A5D"/>
    <w:rsid w:val="007772E8"/>
    <w:rsid w:val="00777727"/>
    <w:rsid w:val="0078021E"/>
    <w:rsid w:val="0078044F"/>
    <w:rsid w:val="00781A07"/>
    <w:rsid w:val="00781CBC"/>
    <w:rsid w:val="0078560E"/>
    <w:rsid w:val="007856F6"/>
    <w:rsid w:val="00785854"/>
    <w:rsid w:val="00786B5F"/>
    <w:rsid w:val="007903B1"/>
    <w:rsid w:val="007936C0"/>
    <w:rsid w:val="00793D13"/>
    <w:rsid w:val="0079503B"/>
    <w:rsid w:val="0079561C"/>
    <w:rsid w:val="007957A3"/>
    <w:rsid w:val="00796F9C"/>
    <w:rsid w:val="00797510"/>
    <w:rsid w:val="007A19C2"/>
    <w:rsid w:val="007A1C83"/>
    <w:rsid w:val="007A206F"/>
    <w:rsid w:val="007A2208"/>
    <w:rsid w:val="007A328F"/>
    <w:rsid w:val="007A452E"/>
    <w:rsid w:val="007A492C"/>
    <w:rsid w:val="007A66CD"/>
    <w:rsid w:val="007B05B6"/>
    <w:rsid w:val="007B06A1"/>
    <w:rsid w:val="007B3838"/>
    <w:rsid w:val="007B3CEF"/>
    <w:rsid w:val="007B4481"/>
    <w:rsid w:val="007B535B"/>
    <w:rsid w:val="007B6076"/>
    <w:rsid w:val="007B7B4B"/>
    <w:rsid w:val="007C0E56"/>
    <w:rsid w:val="007C12B7"/>
    <w:rsid w:val="007C24AC"/>
    <w:rsid w:val="007C2F85"/>
    <w:rsid w:val="007C30BC"/>
    <w:rsid w:val="007C67CA"/>
    <w:rsid w:val="007C7E41"/>
    <w:rsid w:val="007D12C6"/>
    <w:rsid w:val="007D40E8"/>
    <w:rsid w:val="007D4BD6"/>
    <w:rsid w:val="007D5116"/>
    <w:rsid w:val="007D6D83"/>
    <w:rsid w:val="007D6E5D"/>
    <w:rsid w:val="007D7E1F"/>
    <w:rsid w:val="007E038C"/>
    <w:rsid w:val="007E03F7"/>
    <w:rsid w:val="007E3727"/>
    <w:rsid w:val="007E3BAB"/>
    <w:rsid w:val="007E3CEE"/>
    <w:rsid w:val="007E4943"/>
    <w:rsid w:val="007E571E"/>
    <w:rsid w:val="007E6DD2"/>
    <w:rsid w:val="007E7B99"/>
    <w:rsid w:val="007F2050"/>
    <w:rsid w:val="007F21AF"/>
    <w:rsid w:val="007F2749"/>
    <w:rsid w:val="007F2842"/>
    <w:rsid w:val="007F3A43"/>
    <w:rsid w:val="007F4FCF"/>
    <w:rsid w:val="007F714C"/>
    <w:rsid w:val="007F748A"/>
    <w:rsid w:val="0080282C"/>
    <w:rsid w:val="00803CC0"/>
    <w:rsid w:val="00803F8E"/>
    <w:rsid w:val="00804E71"/>
    <w:rsid w:val="0080567B"/>
    <w:rsid w:val="008058C0"/>
    <w:rsid w:val="0080649E"/>
    <w:rsid w:val="008071CD"/>
    <w:rsid w:val="008104D0"/>
    <w:rsid w:val="008113ED"/>
    <w:rsid w:val="0081217B"/>
    <w:rsid w:val="0081225D"/>
    <w:rsid w:val="0081399A"/>
    <w:rsid w:val="00813E87"/>
    <w:rsid w:val="0081566D"/>
    <w:rsid w:val="008156D7"/>
    <w:rsid w:val="008166FB"/>
    <w:rsid w:val="0082030A"/>
    <w:rsid w:val="008215C4"/>
    <w:rsid w:val="00822D8B"/>
    <w:rsid w:val="00823530"/>
    <w:rsid w:val="0082360E"/>
    <w:rsid w:val="0082584C"/>
    <w:rsid w:val="00825A00"/>
    <w:rsid w:val="0082660A"/>
    <w:rsid w:val="00826C53"/>
    <w:rsid w:val="00827127"/>
    <w:rsid w:val="008305C3"/>
    <w:rsid w:val="00830AC2"/>
    <w:rsid w:val="00831D2F"/>
    <w:rsid w:val="00833EA4"/>
    <w:rsid w:val="008343C0"/>
    <w:rsid w:val="008347B6"/>
    <w:rsid w:val="00834BC0"/>
    <w:rsid w:val="00834E7F"/>
    <w:rsid w:val="0083525F"/>
    <w:rsid w:val="008356F9"/>
    <w:rsid w:val="00835896"/>
    <w:rsid w:val="00835A48"/>
    <w:rsid w:val="00835C52"/>
    <w:rsid w:val="008360FE"/>
    <w:rsid w:val="00836886"/>
    <w:rsid w:val="008371FD"/>
    <w:rsid w:val="00837632"/>
    <w:rsid w:val="00837D03"/>
    <w:rsid w:val="00840858"/>
    <w:rsid w:val="008412F3"/>
    <w:rsid w:val="00844096"/>
    <w:rsid w:val="00844367"/>
    <w:rsid w:val="008472F1"/>
    <w:rsid w:val="008506D4"/>
    <w:rsid w:val="00851476"/>
    <w:rsid w:val="00852C1F"/>
    <w:rsid w:val="00852C38"/>
    <w:rsid w:val="00853FD8"/>
    <w:rsid w:val="00861431"/>
    <w:rsid w:val="00861B6F"/>
    <w:rsid w:val="00862267"/>
    <w:rsid w:val="00862934"/>
    <w:rsid w:val="00862A09"/>
    <w:rsid w:val="00863A2D"/>
    <w:rsid w:val="008665C2"/>
    <w:rsid w:val="00867513"/>
    <w:rsid w:val="00867D78"/>
    <w:rsid w:val="008703D8"/>
    <w:rsid w:val="00871773"/>
    <w:rsid w:val="00871C8B"/>
    <w:rsid w:val="00872A46"/>
    <w:rsid w:val="00874689"/>
    <w:rsid w:val="00874969"/>
    <w:rsid w:val="008754DA"/>
    <w:rsid w:val="00875E3F"/>
    <w:rsid w:val="008771B3"/>
    <w:rsid w:val="008775AF"/>
    <w:rsid w:val="008811E6"/>
    <w:rsid w:val="008813FB"/>
    <w:rsid w:val="00881427"/>
    <w:rsid w:val="00882537"/>
    <w:rsid w:val="0088549A"/>
    <w:rsid w:val="0088775E"/>
    <w:rsid w:val="008877C7"/>
    <w:rsid w:val="00887C93"/>
    <w:rsid w:val="008919B1"/>
    <w:rsid w:val="008938BB"/>
    <w:rsid w:val="00893978"/>
    <w:rsid w:val="00894D34"/>
    <w:rsid w:val="00897081"/>
    <w:rsid w:val="008A0799"/>
    <w:rsid w:val="008A0A9C"/>
    <w:rsid w:val="008A21B6"/>
    <w:rsid w:val="008A39B8"/>
    <w:rsid w:val="008A3C91"/>
    <w:rsid w:val="008A4BED"/>
    <w:rsid w:val="008A5B17"/>
    <w:rsid w:val="008A775D"/>
    <w:rsid w:val="008B073B"/>
    <w:rsid w:val="008B1E9D"/>
    <w:rsid w:val="008B227E"/>
    <w:rsid w:val="008B2E3A"/>
    <w:rsid w:val="008B36F8"/>
    <w:rsid w:val="008B3920"/>
    <w:rsid w:val="008B4BA5"/>
    <w:rsid w:val="008B52DF"/>
    <w:rsid w:val="008B5659"/>
    <w:rsid w:val="008B6F8E"/>
    <w:rsid w:val="008B6F9B"/>
    <w:rsid w:val="008B7C83"/>
    <w:rsid w:val="008B7DB9"/>
    <w:rsid w:val="008C1650"/>
    <w:rsid w:val="008C181E"/>
    <w:rsid w:val="008C1DAB"/>
    <w:rsid w:val="008C263A"/>
    <w:rsid w:val="008C306D"/>
    <w:rsid w:val="008C4753"/>
    <w:rsid w:val="008C5C27"/>
    <w:rsid w:val="008C61A1"/>
    <w:rsid w:val="008C6DFB"/>
    <w:rsid w:val="008C6FB1"/>
    <w:rsid w:val="008D0C86"/>
    <w:rsid w:val="008D1637"/>
    <w:rsid w:val="008D16F7"/>
    <w:rsid w:val="008D1F7C"/>
    <w:rsid w:val="008D2407"/>
    <w:rsid w:val="008D4410"/>
    <w:rsid w:val="008D4FD7"/>
    <w:rsid w:val="008D5936"/>
    <w:rsid w:val="008D61C6"/>
    <w:rsid w:val="008D7301"/>
    <w:rsid w:val="008D7FE4"/>
    <w:rsid w:val="008E3A02"/>
    <w:rsid w:val="008E51E2"/>
    <w:rsid w:val="008E522D"/>
    <w:rsid w:val="008E5730"/>
    <w:rsid w:val="008E597D"/>
    <w:rsid w:val="008E6E0B"/>
    <w:rsid w:val="008F0559"/>
    <w:rsid w:val="008F11D3"/>
    <w:rsid w:val="008F12B1"/>
    <w:rsid w:val="008F1C7E"/>
    <w:rsid w:val="008F28A7"/>
    <w:rsid w:val="008F3445"/>
    <w:rsid w:val="008F3712"/>
    <w:rsid w:val="008F53D1"/>
    <w:rsid w:val="008F56A5"/>
    <w:rsid w:val="008F5C88"/>
    <w:rsid w:val="008F675D"/>
    <w:rsid w:val="008F744F"/>
    <w:rsid w:val="008F76DB"/>
    <w:rsid w:val="008F7D7D"/>
    <w:rsid w:val="00901434"/>
    <w:rsid w:val="00901CD1"/>
    <w:rsid w:val="009020FF"/>
    <w:rsid w:val="00902B8A"/>
    <w:rsid w:val="0090467C"/>
    <w:rsid w:val="009055F8"/>
    <w:rsid w:val="00905755"/>
    <w:rsid w:val="00906ADD"/>
    <w:rsid w:val="00906F79"/>
    <w:rsid w:val="009074BC"/>
    <w:rsid w:val="0091178A"/>
    <w:rsid w:val="00911F5F"/>
    <w:rsid w:val="00912A36"/>
    <w:rsid w:val="00913226"/>
    <w:rsid w:val="00913530"/>
    <w:rsid w:val="00914034"/>
    <w:rsid w:val="0091437C"/>
    <w:rsid w:val="00915109"/>
    <w:rsid w:val="0091542F"/>
    <w:rsid w:val="00916FFA"/>
    <w:rsid w:val="00917A28"/>
    <w:rsid w:val="00920914"/>
    <w:rsid w:val="00920A56"/>
    <w:rsid w:val="00920C6C"/>
    <w:rsid w:val="009216D7"/>
    <w:rsid w:val="00922AF9"/>
    <w:rsid w:val="0092528E"/>
    <w:rsid w:val="0092670A"/>
    <w:rsid w:val="00926F64"/>
    <w:rsid w:val="0092702D"/>
    <w:rsid w:val="00927BC5"/>
    <w:rsid w:val="009316D4"/>
    <w:rsid w:val="00932514"/>
    <w:rsid w:val="0093347F"/>
    <w:rsid w:val="009335E9"/>
    <w:rsid w:val="00933817"/>
    <w:rsid w:val="00934F5E"/>
    <w:rsid w:val="00935E1C"/>
    <w:rsid w:val="0093655E"/>
    <w:rsid w:val="00940836"/>
    <w:rsid w:val="00941030"/>
    <w:rsid w:val="0094182D"/>
    <w:rsid w:val="009438D3"/>
    <w:rsid w:val="0094409C"/>
    <w:rsid w:val="00944E76"/>
    <w:rsid w:val="00944FD9"/>
    <w:rsid w:val="00947E94"/>
    <w:rsid w:val="00950554"/>
    <w:rsid w:val="00951B46"/>
    <w:rsid w:val="00951DB7"/>
    <w:rsid w:val="00952DBD"/>
    <w:rsid w:val="00953529"/>
    <w:rsid w:val="00953CB7"/>
    <w:rsid w:val="00954A69"/>
    <w:rsid w:val="00955462"/>
    <w:rsid w:val="009563D3"/>
    <w:rsid w:val="009564BC"/>
    <w:rsid w:val="00956737"/>
    <w:rsid w:val="00956EC6"/>
    <w:rsid w:val="00960F63"/>
    <w:rsid w:val="009624B6"/>
    <w:rsid w:val="00962BAA"/>
    <w:rsid w:val="00962FDA"/>
    <w:rsid w:val="0096330C"/>
    <w:rsid w:val="00963E6E"/>
    <w:rsid w:val="00964128"/>
    <w:rsid w:val="00965990"/>
    <w:rsid w:val="00966F73"/>
    <w:rsid w:val="0096761E"/>
    <w:rsid w:val="009677A6"/>
    <w:rsid w:val="00971CFB"/>
    <w:rsid w:val="00972FB7"/>
    <w:rsid w:val="0097321E"/>
    <w:rsid w:val="0097581E"/>
    <w:rsid w:val="009759D0"/>
    <w:rsid w:val="00977C38"/>
    <w:rsid w:val="0098094F"/>
    <w:rsid w:val="00980B4C"/>
    <w:rsid w:val="00981386"/>
    <w:rsid w:val="009816E5"/>
    <w:rsid w:val="00982AF7"/>
    <w:rsid w:val="009835E6"/>
    <w:rsid w:val="009837DC"/>
    <w:rsid w:val="00983A5D"/>
    <w:rsid w:val="009841D0"/>
    <w:rsid w:val="0098550D"/>
    <w:rsid w:val="00985A6D"/>
    <w:rsid w:val="0098660A"/>
    <w:rsid w:val="00986891"/>
    <w:rsid w:val="00986ED9"/>
    <w:rsid w:val="00987079"/>
    <w:rsid w:val="009917C7"/>
    <w:rsid w:val="00991A79"/>
    <w:rsid w:val="00991C78"/>
    <w:rsid w:val="00992789"/>
    <w:rsid w:val="009928C9"/>
    <w:rsid w:val="00994FDE"/>
    <w:rsid w:val="00995BC7"/>
    <w:rsid w:val="009961B4"/>
    <w:rsid w:val="0099651D"/>
    <w:rsid w:val="00997E63"/>
    <w:rsid w:val="009A0E4C"/>
    <w:rsid w:val="009A10B4"/>
    <w:rsid w:val="009A1462"/>
    <w:rsid w:val="009A1B84"/>
    <w:rsid w:val="009A269B"/>
    <w:rsid w:val="009A29D0"/>
    <w:rsid w:val="009A651F"/>
    <w:rsid w:val="009A66DF"/>
    <w:rsid w:val="009A79A4"/>
    <w:rsid w:val="009A7C7D"/>
    <w:rsid w:val="009B18F8"/>
    <w:rsid w:val="009B2188"/>
    <w:rsid w:val="009B2326"/>
    <w:rsid w:val="009B2900"/>
    <w:rsid w:val="009B2BAF"/>
    <w:rsid w:val="009B38CD"/>
    <w:rsid w:val="009B41C2"/>
    <w:rsid w:val="009B48AF"/>
    <w:rsid w:val="009B755E"/>
    <w:rsid w:val="009C06DD"/>
    <w:rsid w:val="009C094C"/>
    <w:rsid w:val="009C121C"/>
    <w:rsid w:val="009C1228"/>
    <w:rsid w:val="009C3556"/>
    <w:rsid w:val="009C3D94"/>
    <w:rsid w:val="009C43A1"/>
    <w:rsid w:val="009C6E20"/>
    <w:rsid w:val="009C78E8"/>
    <w:rsid w:val="009C7DEC"/>
    <w:rsid w:val="009D1266"/>
    <w:rsid w:val="009D1563"/>
    <w:rsid w:val="009D35A4"/>
    <w:rsid w:val="009D3830"/>
    <w:rsid w:val="009D4887"/>
    <w:rsid w:val="009D58F8"/>
    <w:rsid w:val="009D63B6"/>
    <w:rsid w:val="009D6FD2"/>
    <w:rsid w:val="009E056D"/>
    <w:rsid w:val="009E0812"/>
    <w:rsid w:val="009E0E8A"/>
    <w:rsid w:val="009E18DE"/>
    <w:rsid w:val="009E193E"/>
    <w:rsid w:val="009E1D92"/>
    <w:rsid w:val="009E2B4B"/>
    <w:rsid w:val="009E35C8"/>
    <w:rsid w:val="009E5459"/>
    <w:rsid w:val="009E58B1"/>
    <w:rsid w:val="009E5FBB"/>
    <w:rsid w:val="009E7474"/>
    <w:rsid w:val="009E770D"/>
    <w:rsid w:val="009E7A1E"/>
    <w:rsid w:val="009E7A20"/>
    <w:rsid w:val="009F0F08"/>
    <w:rsid w:val="009F18B8"/>
    <w:rsid w:val="009F33DB"/>
    <w:rsid w:val="009F4823"/>
    <w:rsid w:val="009F5041"/>
    <w:rsid w:val="009F7910"/>
    <w:rsid w:val="00A00438"/>
    <w:rsid w:val="00A0104B"/>
    <w:rsid w:val="00A01F58"/>
    <w:rsid w:val="00A02237"/>
    <w:rsid w:val="00A03513"/>
    <w:rsid w:val="00A04915"/>
    <w:rsid w:val="00A04A81"/>
    <w:rsid w:val="00A0531A"/>
    <w:rsid w:val="00A079D6"/>
    <w:rsid w:val="00A1267A"/>
    <w:rsid w:val="00A147EB"/>
    <w:rsid w:val="00A1505F"/>
    <w:rsid w:val="00A156CB"/>
    <w:rsid w:val="00A158A0"/>
    <w:rsid w:val="00A20075"/>
    <w:rsid w:val="00A206C0"/>
    <w:rsid w:val="00A21445"/>
    <w:rsid w:val="00A22A2E"/>
    <w:rsid w:val="00A2300B"/>
    <w:rsid w:val="00A23EE2"/>
    <w:rsid w:val="00A254D2"/>
    <w:rsid w:val="00A263D3"/>
    <w:rsid w:val="00A27854"/>
    <w:rsid w:val="00A27993"/>
    <w:rsid w:val="00A27D48"/>
    <w:rsid w:val="00A30CBF"/>
    <w:rsid w:val="00A3166C"/>
    <w:rsid w:val="00A338EF"/>
    <w:rsid w:val="00A345D4"/>
    <w:rsid w:val="00A34856"/>
    <w:rsid w:val="00A348FF"/>
    <w:rsid w:val="00A3523D"/>
    <w:rsid w:val="00A3524F"/>
    <w:rsid w:val="00A35D0D"/>
    <w:rsid w:val="00A37E66"/>
    <w:rsid w:val="00A41CE9"/>
    <w:rsid w:val="00A41F6E"/>
    <w:rsid w:val="00A42A0B"/>
    <w:rsid w:val="00A42AF0"/>
    <w:rsid w:val="00A4360E"/>
    <w:rsid w:val="00A43B10"/>
    <w:rsid w:val="00A45C1A"/>
    <w:rsid w:val="00A45D6F"/>
    <w:rsid w:val="00A47567"/>
    <w:rsid w:val="00A50714"/>
    <w:rsid w:val="00A50ADA"/>
    <w:rsid w:val="00A53E26"/>
    <w:rsid w:val="00A546E8"/>
    <w:rsid w:val="00A56EC1"/>
    <w:rsid w:val="00A57399"/>
    <w:rsid w:val="00A57F21"/>
    <w:rsid w:val="00A61EAE"/>
    <w:rsid w:val="00A63BD9"/>
    <w:rsid w:val="00A65334"/>
    <w:rsid w:val="00A65E03"/>
    <w:rsid w:val="00A70CAF"/>
    <w:rsid w:val="00A70E7B"/>
    <w:rsid w:val="00A72453"/>
    <w:rsid w:val="00A724DB"/>
    <w:rsid w:val="00A73148"/>
    <w:rsid w:val="00A73FDB"/>
    <w:rsid w:val="00A74CEC"/>
    <w:rsid w:val="00A75255"/>
    <w:rsid w:val="00A752B3"/>
    <w:rsid w:val="00A75DB1"/>
    <w:rsid w:val="00A76A68"/>
    <w:rsid w:val="00A76BD8"/>
    <w:rsid w:val="00A805E7"/>
    <w:rsid w:val="00A81678"/>
    <w:rsid w:val="00A817DD"/>
    <w:rsid w:val="00A81EAA"/>
    <w:rsid w:val="00A82AB1"/>
    <w:rsid w:val="00A84A5E"/>
    <w:rsid w:val="00A85E8E"/>
    <w:rsid w:val="00A86021"/>
    <w:rsid w:val="00A87CF5"/>
    <w:rsid w:val="00A900D8"/>
    <w:rsid w:val="00A905FB"/>
    <w:rsid w:val="00A91958"/>
    <w:rsid w:val="00A93294"/>
    <w:rsid w:val="00A934E0"/>
    <w:rsid w:val="00A95F0A"/>
    <w:rsid w:val="00A95F64"/>
    <w:rsid w:val="00A96925"/>
    <w:rsid w:val="00A97800"/>
    <w:rsid w:val="00A97934"/>
    <w:rsid w:val="00AA0D1A"/>
    <w:rsid w:val="00AA0DB7"/>
    <w:rsid w:val="00AA104A"/>
    <w:rsid w:val="00AA1EA4"/>
    <w:rsid w:val="00AA23F1"/>
    <w:rsid w:val="00AA2BB2"/>
    <w:rsid w:val="00AA36FB"/>
    <w:rsid w:val="00AA629D"/>
    <w:rsid w:val="00AA6853"/>
    <w:rsid w:val="00AA6C8F"/>
    <w:rsid w:val="00AA6EF5"/>
    <w:rsid w:val="00AA7778"/>
    <w:rsid w:val="00AB05B4"/>
    <w:rsid w:val="00AB0A0B"/>
    <w:rsid w:val="00AB0C00"/>
    <w:rsid w:val="00AB0D8C"/>
    <w:rsid w:val="00AB2B15"/>
    <w:rsid w:val="00AB3B6E"/>
    <w:rsid w:val="00AB6671"/>
    <w:rsid w:val="00AB6F40"/>
    <w:rsid w:val="00AC0515"/>
    <w:rsid w:val="00AC0FA5"/>
    <w:rsid w:val="00AC4541"/>
    <w:rsid w:val="00AC6642"/>
    <w:rsid w:val="00AC6FC3"/>
    <w:rsid w:val="00AC6FD0"/>
    <w:rsid w:val="00AC7A55"/>
    <w:rsid w:val="00AD036D"/>
    <w:rsid w:val="00AD2043"/>
    <w:rsid w:val="00AD2567"/>
    <w:rsid w:val="00AD405B"/>
    <w:rsid w:val="00AD453E"/>
    <w:rsid w:val="00AD7712"/>
    <w:rsid w:val="00AE0487"/>
    <w:rsid w:val="00AE08F1"/>
    <w:rsid w:val="00AE1A24"/>
    <w:rsid w:val="00AE1E44"/>
    <w:rsid w:val="00AE2306"/>
    <w:rsid w:val="00AE2557"/>
    <w:rsid w:val="00AE3A75"/>
    <w:rsid w:val="00AE3A84"/>
    <w:rsid w:val="00AE448F"/>
    <w:rsid w:val="00AE4878"/>
    <w:rsid w:val="00AE488B"/>
    <w:rsid w:val="00AE5F65"/>
    <w:rsid w:val="00AE65D1"/>
    <w:rsid w:val="00AE7722"/>
    <w:rsid w:val="00AE796F"/>
    <w:rsid w:val="00AE7AC8"/>
    <w:rsid w:val="00AE7E07"/>
    <w:rsid w:val="00AF0E1B"/>
    <w:rsid w:val="00AF0E8D"/>
    <w:rsid w:val="00AF2194"/>
    <w:rsid w:val="00AF3E88"/>
    <w:rsid w:val="00AF4970"/>
    <w:rsid w:val="00AF60D8"/>
    <w:rsid w:val="00AF6A96"/>
    <w:rsid w:val="00AF7270"/>
    <w:rsid w:val="00AF74DE"/>
    <w:rsid w:val="00AF7D30"/>
    <w:rsid w:val="00B00069"/>
    <w:rsid w:val="00B02501"/>
    <w:rsid w:val="00B039A5"/>
    <w:rsid w:val="00B039BF"/>
    <w:rsid w:val="00B03FCF"/>
    <w:rsid w:val="00B06947"/>
    <w:rsid w:val="00B10565"/>
    <w:rsid w:val="00B105C3"/>
    <w:rsid w:val="00B1068B"/>
    <w:rsid w:val="00B107C2"/>
    <w:rsid w:val="00B11DF5"/>
    <w:rsid w:val="00B124D9"/>
    <w:rsid w:val="00B12A30"/>
    <w:rsid w:val="00B13C1B"/>
    <w:rsid w:val="00B150EA"/>
    <w:rsid w:val="00B15201"/>
    <w:rsid w:val="00B1530D"/>
    <w:rsid w:val="00B15765"/>
    <w:rsid w:val="00B20892"/>
    <w:rsid w:val="00B20939"/>
    <w:rsid w:val="00B20F4D"/>
    <w:rsid w:val="00B21CD8"/>
    <w:rsid w:val="00B21F47"/>
    <w:rsid w:val="00B22F38"/>
    <w:rsid w:val="00B23817"/>
    <w:rsid w:val="00B23C39"/>
    <w:rsid w:val="00B253E0"/>
    <w:rsid w:val="00B253E6"/>
    <w:rsid w:val="00B31551"/>
    <w:rsid w:val="00B326A6"/>
    <w:rsid w:val="00B33750"/>
    <w:rsid w:val="00B33AC2"/>
    <w:rsid w:val="00B34BA9"/>
    <w:rsid w:val="00B353C8"/>
    <w:rsid w:val="00B35683"/>
    <w:rsid w:val="00B367EB"/>
    <w:rsid w:val="00B36D3A"/>
    <w:rsid w:val="00B37844"/>
    <w:rsid w:val="00B37A74"/>
    <w:rsid w:val="00B37B88"/>
    <w:rsid w:val="00B42B77"/>
    <w:rsid w:val="00B453C1"/>
    <w:rsid w:val="00B455DD"/>
    <w:rsid w:val="00B460D4"/>
    <w:rsid w:val="00B47703"/>
    <w:rsid w:val="00B47FBC"/>
    <w:rsid w:val="00B504D0"/>
    <w:rsid w:val="00B510FA"/>
    <w:rsid w:val="00B51DCD"/>
    <w:rsid w:val="00B5282C"/>
    <w:rsid w:val="00B535F4"/>
    <w:rsid w:val="00B5419D"/>
    <w:rsid w:val="00B54804"/>
    <w:rsid w:val="00B54E6A"/>
    <w:rsid w:val="00B55CDC"/>
    <w:rsid w:val="00B5637E"/>
    <w:rsid w:val="00B56384"/>
    <w:rsid w:val="00B5697A"/>
    <w:rsid w:val="00B577CA"/>
    <w:rsid w:val="00B617C8"/>
    <w:rsid w:val="00B61A09"/>
    <w:rsid w:val="00B651FD"/>
    <w:rsid w:val="00B654B8"/>
    <w:rsid w:val="00B66E50"/>
    <w:rsid w:val="00B71E01"/>
    <w:rsid w:val="00B71FBD"/>
    <w:rsid w:val="00B73385"/>
    <w:rsid w:val="00B739C8"/>
    <w:rsid w:val="00B73A9A"/>
    <w:rsid w:val="00B74483"/>
    <w:rsid w:val="00B752E2"/>
    <w:rsid w:val="00B76AE5"/>
    <w:rsid w:val="00B770A5"/>
    <w:rsid w:val="00B779CF"/>
    <w:rsid w:val="00B8173C"/>
    <w:rsid w:val="00B82ED8"/>
    <w:rsid w:val="00B86E69"/>
    <w:rsid w:val="00B87CC5"/>
    <w:rsid w:val="00B9101D"/>
    <w:rsid w:val="00B910E3"/>
    <w:rsid w:val="00B92292"/>
    <w:rsid w:val="00B9314B"/>
    <w:rsid w:val="00B93767"/>
    <w:rsid w:val="00B94A0F"/>
    <w:rsid w:val="00B95243"/>
    <w:rsid w:val="00B95D0A"/>
    <w:rsid w:val="00B95D57"/>
    <w:rsid w:val="00B95FAB"/>
    <w:rsid w:val="00B97269"/>
    <w:rsid w:val="00B973ED"/>
    <w:rsid w:val="00BA0BE3"/>
    <w:rsid w:val="00BA2580"/>
    <w:rsid w:val="00BA3CB5"/>
    <w:rsid w:val="00BA44B3"/>
    <w:rsid w:val="00BA4CBF"/>
    <w:rsid w:val="00BA51DA"/>
    <w:rsid w:val="00BA5D13"/>
    <w:rsid w:val="00BA5E5A"/>
    <w:rsid w:val="00BA67C1"/>
    <w:rsid w:val="00BB08A5"/>
    <w:rsid w:val="00BB34E4"/>
    <w:rsid w:val="00BB34EC"/>
    <w:rsid w:val="00BB46F8"/>
    <w:rsid w:val="00BB72B1"/>
    <w:rsid w:val="00BC0061"/>
    <w:rsid w:val="00BC0A0D"/>
    <w:rsid w:val="00BC10D5"/>
    <w:rsid w:val="00BC3165"/>
    <w:rsid w:val="00BC494F"/>
    <w:rsid w:val="00BC5BAF"/>
    <w:rsid w:val="00BC7234"/>
    <w:rsid w:val="00BC7605"/>
    <w:rsid w:val="00BD57FB"/>
    <w:rsid w:val="00BD724B"/>
    <w:rsid w:val="00BE0BA8"/>
    <w:rsid w:val="00BE1805"/>
    <w:rsid w:val="00BE20A7"/>
    <w:rsid w:val="00BE28CF"/>
    <w:rsid w:val="00BE3A4E"/>
    <w:rsid w:val="00BE4012"/>
    <w:rsid w:val="00BE5196"/>
    <w:rsid w:val="00BE58DF"/>
    <w:rsid w:val="00BE5E16"/>
    <w:rsid w:val="00BE66E9"/>
    <w:rsid w:val="00BE7A80"/>
    <w:rsid w:val="00BF01D8"/>
    <w:rsid w:val="00BF114F"/>
    <w:rsid w:val="00BF3919"/>
    <w:rsid w:val="00BF57DB"/>
    <w:rsid w:val="00BF6321"/>
    <w:rsid w:val="00BF6AB4"/>
    <w:rsid w:val="00BF6ABE"/>
    <w:rsid w:val="00BF74C7"/>
    <w:rsid w:val="00BF7690"/>
    <w:rsid w:val="00C01029"/>
    <w:rsid w:val="00C02006"/>
    <w:rsid w:val="00C03508"/>
    <w:rsid w:val="00C03AF0"/>
    <w:rsid w:val="00C04889"/>
    <w:rsid w:val="00C04D8E"/>
    <w:rsid w:val="00C06145"/>
    <w:rsid w:val="00C0680E"/>
    <w:rsid w:val="00C06BBB"/>
    <w:rsid w:val="00C06E1C"/>
    <w:rsid w:val="00C105B5"/>
    <w:rsid w:val="00C10FDE"/>
    <w:rsid w:val="00C11DF1"/>
    <w:rsid w:val="00C12A46"/>
    <w:rsid w:val="00C155F2"/>
    <w:rsid w:val="00C155F5"/>
    <w:rsid w:val="00C16A38"/>
    <w:rsid w:val="00C2054D"/>
    <w:rsid w:val="00C20686"/>
    <w:rsid w:val="00C206E4"/>
    <w:rsid w:val="00C21ACE"/>
    <w:rsid w:val="00C21CAB"/>
    <w:rsid w:val="00C23468"/>
    <w:rsid w:val="00C24765"/>
    <w:rsid w:val="00C264AF"/>
    <w:rsid w:val="00C26A9E"/>
    <w:rsid w:val="00C27E79"/>
    <w:rsid w:val="00C300C7"/>
    <w:rsid w:val="00C3025B"/>
    <w:rsid w:val="00C31306"/>
    <w:rsid w:val="00C3291A"/>
    <w:rsid w:val="00C3533D"/>
    <w:rsid w:val="00C373C6"/>
    <w:rsid w:val="00C42175"/>
    <w:rsid w:val="00C42CC0"/>
    <w:rsid w:val="00C452B7"/>
    <w:rsid w:val="00C45E72"/>
    <w:rsid w:val="00C463CA"/>
    <w:rsid w:val="00C469C3"/>
    <w:rsid w:val="00C46ABD"/>
    <w:rsid w:val="00C479A3"/>
    <w:rsid w:val="00C50F6C"/>
    <w:rsid w:val="00C51DFD"/>
    <w:rsid w:val="00C52026"/>
    <w:rsid w:val="00C52D47"/>
    <w:rsid w:val="00C53711"/>
    <w:rsid w:val="00C54F95"/>
    <w:rsid w:val="00C55BBD"/>
    <w:rsid w:val="00C56458"/>
    <w:rsid w:val="00C6187F"/>
    <w:rsid w:val="00C6190F"/>
    <w:rsid w:val="00C61AE2"/>
    <w:rsid w:val="00C62F70"/>
    <w:rsid w:val="00C637C5"/>
    <w:rsid w:val="00C64530"/>
    <w:rsid w:val="00C64B8D"/>
    <w:rsid w:val="00C654BA"/>
    <w:rsid w:val="00C659D4"/>
    <w:rsid w:val="00C66E61"/>
    <w:rsid w:val="00C67E2D"/>
    <w:rsid w:val="00C70308"/>
    <w:rsid w:val="00C70FDF"/>
    <w:rsid w:val="00C71EC9"/>
    <w:rsid w:val="00C72044"/>
    <w:rsid w:val="00C727AF"/>
    <w:rsid w:val="00C7684E"/>
    <w:rsid w:val="00C77302"/>
    <w:rsid w:val="00C77DC3"/>
    <w:rsid w:val="00C77F19"/>
    <w:rsid w:val="00C816C4"/>
    <w:rsid w:val="00C82263"/>
    <w:rsid w:val="00C8260E"/>
    <w:rsid w:val="00C83184"/>
    <w:rsid w:val="00C84871"/>
    <w:rsid w:val="00C8523F"/>
    <w:rsid w:val="00C8588B"/>
    <w:rsid w:val="00C85B71"/>
    <w:rsid w:val="00C85E24"/>
    <w:rsid w:val="00C87267"/>
    <w:rsid w:val="00C874CA"/>
    <w:rsid w:val="00C87FDE"/>
    <w:rsid w:val="00C90470"/>
    <w:rsid w:val="00C915C7"/>
    <w:rsid w:val="00C918FA"/>
    <w:rsid w:val="00C92A69"/>
    <w:rsid w:val="00C93B09"/>
    <w:rsid w:val="00C948E0"/>
    <w:rsid w:val="00C9497D"/>
    <w:rsid w:val="00C94E5D"/>
    <w:rsid w:val="00CA08B2"/>
    <w:rsid w:val="00CA1827"/>
    <w:rsid w:val="00CA2410"/>
    <w:rsid w:val="00CA3171"/>
    <w:rsid w:val="00CA3270"/>
    <w:rsid w:val="00CA34D1"/>
    <w:rsid w:val="00CA42BE"/>
    <w:rsid w:val="00CA5010"/>
    <w:rsid w:val="00CA5389"/>
    <w:rsid w:val="00CA53AC"/>
    <w:rsid w:val="00CA5939"/>
    <w:rsid w:val="00CA5A87"/>
    <w:rsid w:val="00CA6141"/>
    <w:rsid w:val="00CA7764"/>
    <w:rsid w:val="00CA787E"/>
    <w:rsid w:val="00CB0597"/>
    <w:rsid w:val="00CB09A6"/>
    <w:rsid w:val="00CB0A79"/>
    <w:rsid w:val="00CB16C2"/>
    <w:rsid w:val="00CB18A0"/>
    <w:rsid w:val="00CB1ABF"/>
    <w:rsid w:val="00CB2240"/>
    <w:rsid w:val="00CB28FC"/>
    <w:rsid w:val="00CB2DF7"/>
    <w:rsid w:val="00CB3773"/>
    <w:rsid w:val="00CB406D"/>
    <w:rsid w:val="00CB40B0"/>
    <w:rsid w:val="00CB4F0D"/>
    <w:rsid w:val="00CC2A5B"/>
    <w:rsid w:val="00CC30C0"/>
    <w:rsid w:val="00CC3B08"/>
    <w:rsid w:val="00CC4B9B"/>
    <w:rsid w:val="00CC4F09"/>
    <w:rsid w:val="00CC5168"/>
    <w:rsid w:val="00CC568B"/>
    <w:rsid w:val="00CC6187"/>
    <w:rsid w:val="00CC7813"/>
    <w:rsid w:val="00CC7A20"/>
    <w:rsid w:val="00CD023C"/>
    <w:rsid w:val="00CD0382"/>
    <w:rsid w:val="00CD1069"/>
    <w:rsid w:val="00CD1089"/>
    <w:rsid w:val="00CD19D5"/>
    <w:rsid w:val="00CD1E8E"/>
    <w:rsid w:val="00CD32F2"/>
    <w:rsid w:val="00CD39B0"/>
    <w:rsid w:val="00CD3BDD"/>
    <w:rsid w:val="00CD49CB"/>
    <w:rsid w:val="00CD54C5"/>
    <w:rsid w:val="00CD55CA"/>
    <w:rsid w:val="00CD595B"/>
    <w:rsid w:val="00CD615C"/>
    <w:rsid w:val="00CD6A3B"/>
    <w:rsid w:val="00CD7133"/>
    <w:rsid w:val="00CD7775"/>
    <w:rsid w:val="00CD77FD"/>
    <w:rsid w:val="00CE041D"/>
    <w:rsid w:val="00CE1253"/>
    <w:rsid w:val="00CE2920"/>
    <w:rsid w:val="00CE43A9"/>
    <w:rsid w:val="00CE63D5"/>
    <w:rsid w:val="00CE662E"/>
    <w:rsid w:val="00CE6ABD"/>
    <w:rsid w:val="00CE6F09"/>
    <w:rsid w:val="00CE764D"/>
    <w:rsid w:val="00CF020F"/>
    <w:rsid w:val="00CF094D"/>
    <w:rsid w:val="00CF0F60"/>
    <w:rsid w:val="00CF1C17"/>
    <w:rsid w:val="00CF2F60"/>
    <w:rsid w:val="00CF3868"/>
    <w:rsid w:val="00CF38E4"/>
    <w:rsid w:val="00CF3AAD"/>
    <w:rsid w:val="00CF3B6B"/>
    <w:rsid w:val="00CF4870"/>
    <w:rsid w:val="00CF4D54"/>
    <w:rsid w:val="00CF636E"/>
    <w:rsid w:val="00CF68E5"/>
    <w:rsid w:val="00CF6DE2"/>
    <w:rsid w:val="00D01148"/>
    <w:rsid w:val="00D01184"/>
    <w:rsid w:val="00D021E6"/>
    <w:rsid w:val="00D026EB"/>
    <w:rsid w:val="00D04897"/>
    <w:rsid w:val="00D049F5"/>
    <w:rsid w:val="00D11A33"/>
    <w:rsid w:val="00D12586"/>
    <w:rsid w:val="00D132E4"/>
    <w:rsid w:val="00D13EC1"/>
    <w:rsid w:val="00D14AB1"/>
    <w:rsid w:val="00D158AE"/>
    <w:rsid w:val="00D15954"/>
    <w:rsid w:val="00D16155"/>
    <w:rsid w:val="00D163F5"/>
    <w:rsid w:val="00D16C99"/>
    <w:rsid w:val="00D17012"/>
    <w:rsid w:val="00D17710"/>
    <w:rsid w:val="00D17F88"/>
    <w:rsid w:val="00D20E38"/>
    <w:rsid w:val="00D210EC"/>
    <w:rsid w:val="00D22FAF"/>
    <w:rsid w:val="00D2333D"/>
    <w:rsid w:val="00D23D39"/>
    <w:rsid w:val="00D23E81"/>
    <w:rsid w:val="00D2481D"/>
    <w:rsid w:val="00D24AEE"/>
    <w:rsid w:val="00D25B54"/>
    <w:rsid w:val="00D25DED"/>
    <w:rsid w:val="00D26CA2"/>
    <w:rsid w:val="00D27864"/>
    <w:rsid w:val="00D31B12"/>
    <w:rsid w:val="00D31BB7"/>
    <w:rsid w:val="00D32C74"/>
    <w:rsid w:val="00D352EB"/>
    <w:rsid w:val="00D35704"/>
    <w:rsid w:val="00D3778E"/>
    <w:rsid w:val="00D37CBB"/>
    <w:rsid w:val="00D40C22"/>
    <w:rsid w:val="00D41A18"/>
    <w:rsid w:val="00D423E5"/>
    <w:rsid w:val="00D43886"/>
    <w:rsid w:val="00D43CDB"/>
    <w:rsid w:val="00D455E8"/>
    <w:rsid w:val="00D45A8D"/>
    <w:rsid w:val="00D47E91"/>
    <w:rsid w:val="00D50721"/>
    <w:rsid w:val="00D50F18"/>
    <w:rsid w:val="00D51338"/>
    <w:rsid w:val="00D52B55"/>
    <w:rsid w:val="00D55EA7"/>
    <w:rsid w:val="00D61CA1"/>
    <w:rsid w:val="00D62AC7"/>
    <w:rsid w:val="00D62B91"/>
    <w:rsid w:val="00D63940"/>
    <w:rsid w:val="00D63A5D"/>
    <w:rsid w:val="00D64BEC"/>
    <w:rsid w:val="00D664B3"/>
    <w:rsid w:val="00D66DA3"/>
    <w:rsid w:val="00D67537"/>
    <w:rsid w:val="00D70ADF"/>
    <w:rsid w:val="00D7227A"/>
    <w:rsid w:val="00D7249A"/>
    <w:rsid w:val="00D72636"/>
    <w:rsid w:val="00D72C28"/>
    <w:rsid w:val="00D73CC6"/>
    <w:rsid w:val="00D745A4"/>
    <w:rsid w:val="00D7485D"/>
    <w:rsid w:val="00D75D16"/>
    <w:rsid w:val="00D7616D"/>
    <w:rsid w:val="00D76589"/>
    <w:rsid w:val="00D76713"/>
    <w:rsid w:val="00D76ECC"/>
    <w:rsid w:val="00D77035"/>
    <w:rsid w:val="00D80DDC"/>
    <w:rsid w:val="00D81656"/>
    <w:rsid w:val="00D81780"/>
    <w:rsid w:val="00D81846"/>
    <w:rsid w:val="00D82740"/>
    <w:rsid w:val="00D82B0A"/>
    <w:rsid w:val="00D863A4"/>
    <w:rsid w:val="00D864A0"/>
    <w:rsid w:val="00D8700D"/>
    <w:rsid w:val="00D876DC"/>
    <w:rsid w:val="00D8771C"/>
    <w:rsid w:val="00D87CE0"/>
    <w:rsid w:val="00D90A13"/>
    <w:rsid w:val="00D91559"/>
    <w:rsid w:val="00D924B8"/>
    <w:rsid w:val="00D93284"/>
    <w:rsid w:val="00D93637"/>
    <w:rsid w:val="00D9470E"/>
    <w:rsid w:val="00D9512C"/>
    <w:rsid w:val="00D9532E"/>
    <w:rsid w:val="00D956BF"/>
    <w:rsid w:val="00D95CA4"/>
    <w:rsid w:val="00D96B4A"/>
    <w:rsid w:val="00D96DD7"/>
    <w:rsid w:val="00D973CC"/>
    <w:rsid w:val="00D97764"/>
    <w:rsid w:val="00D97E53"/>
    <w:rsid w:val="00DA0E14"/>
    <w:rsid w:val="00DA0F46"/>
    <w:rsid w:val="00DA1508"/>
    <w:rsid w:val="00DA1E1A"/>
    <w:rsid w:val="00DA2953"/>
    <w:rsid w:val="00DA2C13"/>
    <w:rsid w:val="00DA36CD"/>
    <w:rsid w:val="00DA3BB5"/>
    <w:rsid w:val="00DA54D7"/>
    <w:rsid w:val="00DA5D58"/>
    <w:rsid w:val="00DA5FDC"/>
    <w:rsid w:val="00DA611D"/>
    <w:rsid w:val="00DA7F31"/>
    <w:rsid w:val="00DB2FDF"/>
    <w:rsid w:val="00DB33A9"/>
    <w:rsid w:val="00DB37DB"/>
    <w:rsid w:val="00DB38C3"/>
    <w:rsid w:val="00DB4CD3"/>
    <w:rsid w:val="00DB4F74"/>
    <w:rsid w:val="00DB6E33"/>
    <w:rsid w:val="00DB7687"/>
    <w:rsid w:val="00DB77D5"/>
    <w:rsid w:val="00DC0281"/>
    <w:rsid w:val="00DC02F3"/>
    <w:rsid w:val="00DC126C"/>
    <w:rsid w:val="00DC208F"/>
    <w:rsid w:val="00DC2B1A"/>
    <w:rsid w:val="00DC2D2B"/>
    <w:rsid w:val="00DC56ED"/>
    <w:rsid w:val="00DC5A6E"/>
    <w:rsid w:val="00DC5D32"/>
    <w:rsid w:val="00DC685B"/>
    <w:rsid w:val="00DC7C67"/>
    <w:rsid w:val="00DD21D9"/>
    <w:rsid w:val="00DD29C2"/>
    <w:rsid w:val="00DD3822"/>
    <w:rsid w:val="00DD384A"/>
    <w:rsid w:val="00DD3D03"/>
    <w:rsid w:val="00DD45DE"/>
    <w:rsid w:val="00DD6B7D"/>
    <w:rsid w:val="00DE0012"/>
    <w:rsid w:val="00DE10B1"/>
    <w:rsid w:val="00DE17B3"/>
    <w:rsid w:val="00DE24E5"/>
    <w:rsid w:val="00DE2658"/>
    <w:rsid w:val="00DE2A4C"/>
    <w:rsid w:val="00DE2DC8"/>
    <w:rsid w:val="00DE3B93"/>
    <w:rsid w:val="00DE65B4"/>
    <w:rsid w:val="00DF3D00"/>
    <w:rsid w:val="00DF3E57"/>
    <w:rsid w:val="00DF53B7"/>
    <w:rsid w:val="00DF5DF6"/>
    <w:rsid w:val="00DF6A90"/>
    <w:rsid w:val="00DF6B94"/>
    <w:rsid w:val="00DF6D0B"/>
    <w:rsid w:val="00E0003B"/>
    <w:rsid w:val="00E0082E"/>
    <w:rsid w:val="00E00DE8"/>
    <w:rsid w:val="00E0245A"/>
    <w:rsid w:val="00E02D1F"/>
    <w:rsid w:val="00E03075"/>
    <w:rsid w:val="00E036DB"/>
    <w:rsid w:val="00E03F02"/>
    <w:rsid w:val="00E041E3"/>
    <w:rsid w:val="00E04A9D"/>
    <w:rsid w:val="00E04C21"/>
    <w:rsid w:val="00E05ED7"/>
    <w:rsid w:val="00E061EA"/>
    <w:rsid w:val="00E074D5"/>
    <w:rsid w:val="00E10A92"/>
    <w:rsid w:val="00E11496"/>
    <w:rsid w:val="00E131A1"/>
    <w:rsid w:val="00E13CD9"/>
    <w:rsid w:val="00E14106"/>
    <w:rsid w:val="00E1469F"/>
    <w:rsid w:val="00E15141"/>
    <w:rsid w:val="00E15316"/>
    <w:rsid w:val="00E1605E"/>
    <w:rsid w:val="00E17072"/>
    <w:rsid w:val="00E1762E"/>
    <w:rsid w:val="00E1780C"/>
    <w:rsid w:val="00E202A0"/>
    <w:rsid w:val="00E21C14"/>
    <w:rsid w:val="00E2255E"/>
    <w:rsid w:val="00E2270B"/>
    <w:rsid w:val="00E22EA3"/>
    <w:rsid w:val="00E2321D"/>
    <w:rsid w:val="00E23F9E"/>
    <w:rsid w:val="00E241D7"/>
    <w:rsid w:val="00E252DC"/>
    <w:rsid w:val="00E2541F"/>
    <w:rsid w:val="00E26782"/>
    <w:rsid w:val="00E26CA9"/>
    <w:rsid w:val="00E30BBA"/>
    <w:rsid w:val="00E30EE9"/>
    <w:rsid w:val="00E310E4"/>
    <w:rsid w:val="00E31B6B"/>
    <w:rsid w:val="00E31D9B"/>
    <w:rsid w:val="00E347FA"/>
    <w:rsid w:val="00E34B17"/>
    <w:rsid w:val="00E34C6D"/>
    <w:rsid w:val="00E35CA1"/>
    <w:rsid w:val="00E35FA2"/>
    <w:rsid w:val="00E3622C"/>
    <w:rsid w:val="00E3625F"/>
    <w:rsid w:val="00E3773E"/>
    <w:rsid w:val="00E37E46"/>
    <w:rsid w:val="00E40523"/>
    <w:rsid w:val="00E42E11"/>
    <w:rsid w:val="00E42E65"/>
    <w:rsid w:val="00E42EC4"/>
    <w:rsid w:val="00E4319C"/>
    <w:rsid w:val="00E439B8"/>
    <w:rsid w:val="00E43E06"/>
    <w:rsid w:val="00E44D09"/>
    <w:rsid w:val="00E45F17"/>
    <w:rsid w:val="00E46089"/>
    <w:rsid w:val="00E460F7"/>
    <w:rsid w:val="00E47EF6"/>
    <w:rsid w:val="00E50149"/>
    <w:rsid w:val="00E51948"/>
    <w:rsid w:val="00E51DBA"/>
    <w:rsid w:val="00E547DC"/>
    <w:rsid w:val="00E55F38"/>
    <w:rsid w:val="00E56C5A"/>
    <w:rsid w:val="00E603C9"/>
    <w:rsid w:val="00E605B1"/>
    <w:rsid w:val="00E614CB"/>
    <w:rsid w:val="00E61BAB"/>
    <w:rsid w:val="00E6272B"/>
    <w:rsid w:val="00E6534D"/>
    <w:rsid w:val="00E65832"/>
    <w:rsid w:val="00E6593D"/>
    <w:rsid w:val="00E6736D"/>
    <w:rsid w:val="00E702C6"/>
    <w:rsid w:val="00E708CC"/>
    <w:rsid w:val="00E70A80"/>
    <w:rsid w:val="00E718A9"/>
    <w:rsid w:val="00E718AE"/>
    <w:rsid w:val="00E71992"/>
    <w:rsid w:val="00E71D87"/>
    <w:rsid w:val="00E71FFB"/>
    <w:rsid w:val="00E726D5"/>
    <w:rsid w:val="00E73450"/>
    <w:rsid w:val="00E7413C"/>
    <w:rsid w:val="00E7437F"/>
    <w:rsid w:val="00E749A9"/>
    <w:rsid w:val="00E76494"/>
    <w:rsid w:val="00E7714C"/>
    <w:rsid w:val="00E77350"/>
    <w:rsid w:val="00E77772"/>
    <w:rsid w:val="00E806A2"/>
    <w:rsid w:val="00E81D96"/>
    <w:rsid w:val="00E81F05"/>
    <w:rsid w:val="00E832FD"/>
    <w:rsid w:val="00E83791"/>
    <w:rsid w:val="00E86177"/>
    <w:rsid w:val="00E8651E"/>
    <w:rsid w:val="00E86E7B"/>
    <w:rsid w:val="00E8700F"/>
    <w:rsid w:val="00E9009E"/>
    <w:rsid w:val="00E92654"/>
    <w:rsid w:val="00E94A5E"/>
    <w:rsid w:val="00E95DE0"/>
    <w:rsid w:val="00E96BA2"/>
    <w:rsid w:val="00E972A4"/>
    <w:rsid w:val="00EA19B5"/>
    <w:rsid w:val="00EA1E05"/>
    <w:rsid w:val="00EA1EAF"/>
    <w:rsid w:val="00EA20C8"/>
    <w:rsid w:val="00EA4D99"/>
    <w:rsid w:val="00EA5EED"/>
    <w:rsid w:val="00EA714A"/>
    <w:rsid w:val="00EA7185"/>
    <w:rsid w:val="00EA758A"/>
    <w:rsid w:val="00EB05D0"/>
    <w:rsid w:val="00EB07F3"/>
    <w:rsid w:val="00EB15BE"/>
    <w:rsid w:val="00EB352C"/>
    <w:rsid w:val="00EB3F5E"/>
    <w:rsid w:val="00EB4374"/>
    <w:rsid w:val="00EB4542"/>
    <w:rsid w:val="00EB6C44"/>
    <w:rsid w:val="00EC0416"/>
    <w:rsid w:val="00EC06A9"/>
    <w:rsid w:val="00EC0F4E"/>
    <w:rsid w:val="00EC2DF6"/>
    <w:rsid w:val="00EC3D88"/>
    <w:rsid w:val="00EC40EC"/>
    <w:rsid w:val="00EC4E90"/>
    <w:rsid w:val="00EC5BDE"/>
    <w:rsid w:val="00EC6536"/>
    <w:rsid w:val="00EC6923"/>
    <w:rsid w:val="00EC792E"/>
    <w:rsid w:val="00EC7C12"/>
    <w:rsid w:val="00ED1233"/>
    <w:rsid w:val="00ED226A"/>
    <w:rsid w:val="00ED249B"/>
    <w:rsid w:val="00ED38EE"/>
    <w:rsid w:val="00ED3B91"/>
    <w:rsid w:val="00ED422C"/>
    <w:rsid w:val="00ED44D4"/>
    <w:rsid w:val="00ED6F53"/>
    <w:rsid w:val="00ED751C"/>
    <w:rsid w:val="00ED7E5C"/>
    <w:rsid w:val="00EE2060"/>
    <w:rsid w:val="00EE2964"/>
    <w:rsid w:val="00EE38AC"/>
    <w:rsid w:val="00EE38EC"/>
    <w:rsid w:val="00EE4A4D"/>
    <w:rsid w:val="00EE55C5"/>
    <w:rsid w:val="00EE68B7"/>
    <w:rsid w:val="00EF13C6"/>
    <w:rsid w:val="00EF1AEF"/>
    <w:rsid w:val="00EF2C9D"/>
    <w:rsid w:val="00EF2DFA"/>
    <w:rsid w:val="00EF3C1F"/>
    <w:rsid w:val="00EF435F"/>
    <w:rsid w:val="00EF469B"/>
    <w:rsid w:val="00EF4F0E"/>
    <w:rsid w:val="00EF5240"/>
    <w:rsid w:val="00EF5826"/>
    <w:rsid w:val="00EF5EED"/>
    <w:rsid w:val="00EF691E"/>
    <w:rsid w:val="00EF75E3"/>
    <w:rsid w:val="00EF7CC8"/>
    <w:rsid w:val="00F00065"/>
    <w:rsid w:val="00F000A5"/>
    <w:rsid w:val="00F01EFD"/>
    <w:rsid w:val="00F0436D"/>
    <w:rsid w:val="00F04A44"/>
    <w:rsid w:val="00F05F35"/>
    <w:rsid w:val="00F07205"/>
    <w:rsid w:val="00F10017"/>
    <w:rsid w:val="00F10998"/>
    <w:rsid w:val="00F116DF"/>
    <w:rsid w:val="00F12BFB"/>
    <w:rsid w:val="00F12CAC"/>
    <w:rsid w:val="00F12E69"/>
    <w:rsid w:val="00F14EC8"/>
    <w:rsid w:val="00F1537C"/>
    <w:rsid w:val="00F1543A"/>
    <w:rsid w:val="00F1606E"/>
    <w:rsid w:val="00F1611D"/>
    <w:rsid w:val="00F1698E"/>
    <w:rsid w:val="00F16A3F"/>
    <w:rsid w:val="00F16B22"/>
    <w:rsid w:val="00F16D18"/>
    <w:rsid w:val="00F1795F"/>
    <w:rsid w:val="00F17B38"/>
    <w:rsid w:val="00F21392"/>
    <w:rsid w:val="00F22012"/>
    <w:rsid w:val="00F227B4"/>
    <w:rsid w:val="00F22BD6"/>
    <w:rsid w:val="00F243AB"/>
    <w:rsid w:val="00F254BA"/>
    <w:rsid w:val="00F2551B"/>
    <w:rsid w:val="00F256C1"/>
    <w:rsid w:val="00F26AC0"/>
    <w:rsid w:val="00F26F03"/>
    <w:rsid w:val="00F2727E"/>
    <w:rsid w:val="00F304A9"/>
    <w:rsid w:val="00F31B7E"/>
    <w:rsid w:val="00F32EB6"/>
    <w:rsid w:val="00F3303E"/>
    <w:rsid w:val="00F33380"/>
    <w:rsid w:val="00F34D07"/>
    <w:rsid w:val="00F40B76"/>
    <w:rsid w:val="00F4190E"/>
    <w:rsid w:val="00F41ACC"/>
    <w:rsid w:val="00F420F8"/>
    <w:rsid w:val="00F425F0"/>
    <w:rsid w:val="00F42BD3"/>
    <w:rsid w:val="00F4372B"/>
    <w:rsid w:val="00F44596"/>
    <w:rsid w:val="00F44CEB"/>
    <w:rsid w:val="00F45F59"/>
    <w:rsid w:val="00F46ACC"/>
    <w:rsid w:val="00F5035E"/>
    <w:rsid w:val="00F50A41"/>
    <w:rsid w:val="00F51546"/>
    <w:rsid w:val="00F52F68"/>
    <w:rsid w:val="00F53C1F"/>
    <w:rsid w:val="00F5648E"/>
    <w:rsid w:val="00F57049"/>
    <w:rsid w:val="00F60069"/>
    <w:rsid w:val="00F60DA7"/>
    <w:rsid w:val="00F640C3"/>
    <w:rsid w:val="00F6421E"/>
    <w:rsid w:val="00F6443A"/>
    <w:rsid w:val="00F66735"/>
    <w:rsid w:val="00F700AB"/>
    <w:rsid w:val="00F71DBF"/>
    <w:rsid w:val="00F727FF"/>
    <w:rsid w:val="00F73514"/>
    <w:rsid w:val="00F74D63"/>
    <w:rsid w:val="00F7500F"/>
    <w:rsid w:val="00F76933"/>
    <w:rsid w:val="00F77ABD"/>
    <w:rsid w:val="00F8091C"/>
    <w:rsid w:val="00F80962"/>
    <w:rsid w:val="00F81498"/>
    <w:rsid w:val="00F815B8"/>
    <w:rsid w:val="00F81E61"/>
    <w:rsid w:val="00F821BB"/>
    <w:rsid w:val="00F83506"/>
    <w:rsid w:val="00F84105"/>
    <w:rsid w:val="00F86FB6"/>
    <w:rsid w:val="00F9047A"/>
    <w:rsid w:val="00F9085B"/>
    <w:rsid w:val="00F90BD8"/>
    <w:rsid w:val="00F91641"/>
    <w:rsid w:val="00F91B8C"/>
    <w:rsid w:val="00F91C7F"/>
    <w:rsid w:val="00F9341B"/>
    <w:rsid w:val="00F944A9"/>
    <w:rsid w:val="00F9662F"/>
    <w:rsid w:val="00FA0B0B"/>
    <w:rsid w:val="00FA2035"/>
    <w:rsid w:val="00FA2710"/>
    <w:rsid w:val="00FA3DE3"/>
    <w:rsid w:val="00FA6C3F"/>
    <w:rsid w:val="00FA7493"/>
    <w:rsid w:val="00FB0DB0"/>
    <w:rsid w:val="00FB0F5F"/>
    <w:rsid w:val="00FB2064"/>
    <w:rsid w:val="00FB21EA"/>
    <w:rsid w:val="00FB2930"/>
    <w:rsid w:val="00FB3279"/>
    <w:rsid w:val="00FB38C2"/>
    <w:rsid w:val="00FB43ED"/>
    <w:rsid w:val="00FB4577"/>
    <w:rsid w:val="00FB50CF"/>
    <w:rsid w:val="00FB549A"/>
    <w:rsid w:val="00FB5ADA"/>
    <w:rsid w:val="00FB6C56"/>
    <w:rsid w:val="00FC388B"/>
    <w:rsid w:val="00FC3A6C"/>
    <w:rsid w:val="00FC588E"/>
    <w:rsid w:val="00FC5998"/>
    <w:rsid w:val="00FC6751"/>
    <w:rsid w:val="00FC680E"/>
    <w:rsid w:val="00FC6BDE"/>
    <w:rsid w:val="00FC7DCB"/>
    <w:rsid w:val="00FD0ACF"/>
    <w:rsid w:val="00FD1C28"/>
    <w:rsid w:val="00FD2361"/>
    <w:rsid w:val="00FD24D8"/>
    <w:rsid w:val="00FD2769"/>
    <w:rsid w:val="00FD4E99"/>
    <w:rsid w:val="00FD4FED"/>
    <w:rsid w:val="00FD71A7"/>
    <w:rsid w:val="00FE1DCB"/>
    <w:rsid w:val="00FE35F3"/>
    <w:rsid w:val="00FE4240"/>
    <w:rsid w:val="00FE442A"/>
    <w:rsid w:val="00FE4F71"/>
    <w:rsid w:val="00FE6A75"/>
    <w:rsid w:val="00FE7692"/>
    <w:rsid w:val="00FF03DC"/>
    <w:rsid w:val="00FF1077"/>
    <w:rsid w:val="00FF19BC"/>
    <w:rsid w:val="00FF28EE"/>
    <w:rsid w:val="00FF290C"/>
    <w:rsid w:val="00FF35DC"/>
    <w:rsid w:val="00FF3A8F"/>
    <w:rsid w:val="00FF3EA7"/>
    <w:rsid w:val="00FF4497"/>
    <w:rsid w:val="00FF55ED"/>
    <w:rsid w:val="041D6583"/>
    <w:rsid w:val="0AD401D2"/>
    <w:rsid w:val="0CE602D3"/>
    <w:rsid w:val="128D78B9"/>
    <w:rsid w:val="13F11BCE"/>
    <w:rsid w:val="175E10E1"/>
    <w:rsid w:val="1ABD56A1"/>
    <w:rsid w:val="1D3768AD"/>
    <w:rsid w:val="22B54ACE"/>
    <w:rsid w:val="22B6222C"/>
    <w:rsid w:val="24081C2D"/>
    <w:rsid w:val="26672CA2"/>
    <w:rsid w:val="43CD047F"/>
    <w:rsid w:val="448D657A"/>
    <w:rsid w:val="4E081D61"/>
    <w:rsid w:val="4E3F7F10"/>
    <w:rsid w:val="506C6D9A"/>
    <w:rsid w:val="50F44949"/>
    <w:rsid w:val="5E5C3854"/>
    <w:rsid w:val="60F22EE9"/>
    <w:rsid w:val="61E62C9A"/>
    <w:rsid w:val="68AA4D56"/>
    <w:rsid w:val="695A4114"/>
    <w:rsid w:val="6AF50BCB"/>
    <w:rsid w:val="6D4A3CB6"/>
    <w:rsid w:val="6E465BE8"/>
    <w:rsid w:val="6E534D24"/>
    <w:rsid w:val="6E732F4A"/>
    <w:rsid w:val="7190735C"/>
    <w:rsid w:val="726B4CD7"/>
    <w:rsid w:val="72C15DE3"/>
    <w:rsid w:val="769C470C"/>
    <w:rsid w:val="798F7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0"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tabs>
        <w:tab w:val="left" w:pos="992"/>
      </w:tabs>
      <w:spacing w:before="50" w:beforeLines="50" w:after="50" w:afterLines="50" w:line="360" w:lineRule="exact"/>
      <w:ind w:left="992"/>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42"/>
    <w:autoRedefine/>
    <w:qFormat/>
    <w:uiPriority w:val="9"/>
    <w:pPr>
      <w:widowControl/>
      <w:numPr>
        <w:ilvl w:val="0"/>
        <w:numId w:val="1"/>
      </w:numPr>
      <w:spacing w:before="50" w:after="50"/>
      <w:jc w:val="left"/>
      <w:outlineLvl w:val="0"/>
    </w:pPr>
    <w:rPr>
      <w:rFonts w:eastAsia="黑体"/>
      <w:b/>
      <w:bCs/>
      <w:kern w:val="36"/>
      <w:szCs w:val="48"/>
    </w:rPr>
  </w:style>
  <w:style w:type="paragraph" w:styleId="3">
    <w:name w:val="heading 2"/>
    <w:basedOn w:val="1"/>
    <w:next w:val="1"/>
    <w:link w:val="43"/>
    <w:autoRedefine/>
    <w:qFormat/>
    <w:uiPriority w:val="9"/>
    <w:pPr>
      <w:numPr>
        <w:ilvl w:val="1"/>
        <w:numId w:val="1"/>
      </w:numPr>
      <w:spacing w:before="50" w:after="50"/>
      <w:outlineLvl w:val="1"/>
    </w:pPr>
    <w:rPr>
      <w:b/>
      <w:bCs/>
      <w:szCs w:val="32"/>
    </w:rPr>
  </w:style>
  <w:style w:type="paragraph" w:styleId="4">
    <w:name w:val="heading 3"/>
    <w:basedOn w:val="1"/>
    <w:next w:val="1"/>
    <w:link w:val="44"/>
    <w:autoRedefine/>
    <w:unhideWhenUsed/>
    <w:qFormat/>
    <w:uiPriority w:val="9"/>
    <w:pPr>
      <w:numPr>
        <w:ilvl w:val="2"/>
        <w:numId w:val="1"/>
      </w:numPr>
      <w:spacing w:before="50" w:after="50"/>
      <w:outlineLvl w:val="2"/>
    </w:pPr>
    <w:rPr>
      <w:b/>
      <w:bCs/>
      <w:szCs w:val="32"/>
    </w:rPr>
  </w:style>
  <w:style w:type="paragraph" w:styleId="5">
    <w:name w:val="heading 4"/>
    <w:basedOn w:val="1"/>
    <w:next w:val="1"/>
    <w:link w:val="45"/>
    <w:autoRedefine/>
    <w:unhideWhenUsed/>
    <w:qFormat/>
    <w:uiPriority w:val="9"/>
    <w:pPr>
      <w:numPr>
        <w:ilvl w:val="3"/>
        <w:numId w:val="1"/>
      </w:numPr>
      <w:spacing w:before="50" w:after="50"/>
      <w:outlineLvl w:val="3"/>
    </w:pPr>
    <w:rPr>
      <w:bCs/>
      <w:szCs w:val="28"/>
    </w:rPr>
  </w:style>
  <w:style w:type="paragraph" w:styleId="6">
    <w:name w:val="heading 5"/>
    <w:basedOn w:val="1"/>
    <w:next w:val="1"/>
    <w:link w:val="46"/>
    <w:autoRedefine/>
    <w:unhideWhenUsed/>
    <w:qFormat/>
    <w:uiPriority w:val="0"/>
    <w:pPr>
      <w:keepNext/>
      <w:keepLines/>
      <w:numPr>
        <w:ilvl w:val="4"/>
        <w:numId w:val="1"/>
      </w:numPr>
      <w:spacing w:before="280" w:after="290" w:line="376" w:lineRule="atLeast"/>
      <w:outlineLvl w:val="4"/>
    </w:pPr>
    <w:rPr>
      <w:b/>
      <w:bCs/>
      <w:sz w:val="28"/>
      <w:szCs w:val="28"/>
    </w:rPr>
  </w:style>
  <w:style w:type="paragraph" w:styleId="7">
    <w:name w:val="heading 6"/>
    <w:basedOn w:val="1"/>
    <w:next w:val="1"/>
    <w:link w:val="47"/>
    <w:autoRedefine/>
    <w:unhideWhenUsed/>
    <w:qFormat/>
    <w:uiPriority w:val="9"/>
    <w:pPr>
      <w:keepNext/>
      <w:keepLines/>
      <w:numPr>
        <w:ilvl w:val="0"/>
        <w:numId w:val="2"/>
      </w:numPr>
      <w:spacing w:beforeLines="0" w:afterLines="0" w:line="360" w:lineRule="atLeast"/>
      <w:ind w:left="992" w:hanging="992"/>
      <w:outlineLvl w:val="5"/>
    </w:pPr>
    <w:rPr>
      <w:rFonts w:ascii="Cambria" w:hAnsi="Cambria"/>
      <w:bCs/>
    </w:rPr>
  </w:style>
  <w:style w:type="paragraph" w:styleId="8">
    <w:name w:val="heading 7"/>
    <w:basedOn w:val="1"/>
    <w:next w:val="1"/>
    <w:link w:val="48"/>
    <w:unhideWhenUsed/>
    <w:qFormat/>
    <w:uiPriority w:val="9"/>
    <w:pPr>
      <w:keepNext/>
      <w:keepLines/>
      <w:numPr>
        <w:ilvl w:val="6"/>
        <w:numId w:val="1"/>
      </w:numPr>
      <w:spacing w:before="240" w:after="64" w:line="320" w:lineRule="atLeast"/>
      <w:outlineLvl w:val="6"/>
    </w:pPr>
    <w:rPr>
      <w:b/>
      <w:bCs/>
    </w:rPr>
  </w:style>
  <w:style w:type="paragraph" w:styleId="9">
    <w:name w:val="heading 8"/>
    <w:basedOn w:val="1"/>
    <w:next w:val="1"/>
    <w:link w:val="49"/>
    <w:autoRedefine/>
    <w:unhideWhenUsed/>
    <w:qFormat/>
    <w:uiPriority w:val="9"/>
    <w:pPr>
      <w:keepNext/>
      <w:keepLines/>
      <w:numPr>
        <w:ilvl w:val="7"/>
        <w:numId w:val="1"/>
      </w:numPr>
      <w:spacing w:before="240" w:after="64" w:line="320" w:lineRule="atLeast"/>
      <w:outlineLvl w:val="7"/>
    </w:pPr>
    <w:rPr>
      <w:rFonts w:ascii="Cambria" w:hAnsi="Cambria" w:eastAsia="宋体"/>
    </w:rPr>
  </w:style>
  <w:style w:type="paragraph" w:styleId="10">
    <w:name w:val="heading 9"/>
    <w:basedOn w:val="1"/>
    <w:next w:val="1"/>
    <w:link w:val="50"/>
    <w:autoRedefine/>
    <w:unhideWhenUsed/>
    <w:qFormat/>
    <w:uiPriority w:val="9"/>
    <w:pPr>
      <w:keepNext/>
      <w:keepLines/>
      <w:numPr>
        <w:ilvl w:val="8"/>
        <w:numId w:val="1"/>
      </w:numPr>
      <w:spacing w:before="240" w:after="64" w:line="320" w:lineRule="atLeast"/>
      <w:outlineLvl w:val="8"/>
    </w:pPr>
    <w:rPr>
      <w:rFonts w:ascii="Cambria" w:hAnsi="Cambria" w:eastAsia="宋体"/>
      <w:szCs w:val="21"/>
    </w:rPr>
  </w:style>
  <w:style w:type="character" w:default="1" w:styleId="37">
    <w:name w:val="Default Paragraph Font"/>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pBdr>
        <w:between w:val="double" w:color="auto" w:sz="6" w:space="0"/>
      </w:pBdr>
      <w:tabs>
        <w:tab w:val="clear" w:pos="992"/>
      </w:tabs>
      <w:spacing w:before="120" w:after="120"/>
      <w:ind w:left="1200"/>
      <w:jc w:val="center"/>
    </w:pPr>
    <w:rPr>
      <w:rFonts w:ascii="Calibri" w:hAnsi="Calibri" w:cs="Calibri"/>
      <w:sz w:val="20"/>
      <w:szCs w:val="20"/>
    </w:rPr>
  </w:style>
  <w:style w:type="paragraph" w:styleId="12">
    <w:name w:val="Normal Indent"/>
    <w:basedOn w:val="1"/>
    <w:autoRedefine/>
    <w:qFormat/>
    <w:uiPriority w:val="0"/>
    <w:pPr>
      <w:ind w:firstLine="420"/>
    </w:pPr>
    <w:rPr>
      <w:szCs w:val="20"/>
    </w:rPr>
  </w:style>
  <w:style w:type="paragraph" w:styleId="13">
    <w:name w:val="Document Map"/>
    <w:basedOn w:val="1"/>
    <w:link w:val="64"/>
    <w:autoRedefine/>
    <w:semiHidden/>
    <w:unhideWhenUsed/>
    <w:qFormat/>
    <w:uiPriority w:val="99"/>
    <w:rPr>
      <w:rFonts w:ascii="宋体" w:eastAsia="宋体"/>
      <w:sz w:val="18"/>
      <w:szCs w:val="18"/>
    </w:rPr>
  </w:style>
  <w:style w:type="paragraph" w:styleId="14">
    <w:name w:val="Body Text"/>
    <w:basedOn w:val="1"/>
    <w:link w:val="55"/>
    <w:autoRedefine/>
    <w:qFormat/>
    <w:uiPriority w:val="0"/>
    <w:rPr>
      <w:rFonts w:eastAsia="宋体"/>
    </w:rPr>
  </w:style>
  <w:style w:type="paragraph" w:styleId="15">
    <w:name w:val="Body Text Indent"/>
    <w:basedOn w:val="1"/>
    <w:link w:val="68"/>
    <w:autoRedefine/>
    <w:qFormat/>
    <w:uiPriority w:val="0"/>
    <w:pPr>
      <w:spacing w:line="360" w:lineRule="auto"/>
      <w:ind w:firstLine="560" w:firstLineChars="200"/>
      <w:outlineLvl w:val="0"/>
    </w:pPr>
    <w:rPr>
      <w:sz w:val="28"/>
    </w:rPr>
  </w:style>
  <w:style w:type="paragraph" w:styleId="16">
    <w:name w:val="toc 5"/>
    <w:basedOn w:val="1"/>
    <w:next w:val="1"/>
    <w:autoRedefine/>
    <w:unhideWhenUsed/>
    <w:qFormat/>
    <w:uiPriority w:val="39"/>
    <w:pPr>
      <w:pBdr>
        <w:between w:val="double" w:color="auto" w:sz="6" w:space="0"/>
      </w:pBdr>
      <w:tabs>
        <w:tab w:val="clear" w:pos="992"/>
      </w:tabs>
      <w:spacing w:before="120" w:after="120"/>
      <w:ind w:left="720"/>
      <w:jc w:val="center"/>
    </w:pPr>
    <w:rPr>
      <w:rFonts w:ascii="Calibri" w:hAnsi="Calibri" w:cs="Calibri"/>
      <w:sz w:val="20"/>
      <w:szCs w:val="20"/>
    </w:rPr>
  </w:style>
  <w:style w:type="paragraph" w:styleId="17">
    <w:name w:val="toc 3"/>
    <w:basedOn w:val="1"/>
    <w:next w:val="1"/>
    <w:autoRedefine/>
    <w:qFormat/>
    <w:uiPriority w:val="39"/>
    <w:pPr>
      <w:tabs>
        <w:tab w:val="right" w:leader="dot" w:pos="8302"/>
      </w:tabs>
      <w:ind w:left="840" w:leftChars="400"/>
    </w:pPr>
    <w:rPr>
      <w:rFonts w:ascii="仿宋_GB2312"/>
      <w:sz w:val="28"/>
      <w:szCs w:val="28"/>
    </w:rPr>
  </w:style>
  <w:style w:type="paragraph" w:styleId="18">
    <w:name w:val="Plain Text"/>
    <w:basedOn w:val="1"/>
    <w:link w:val="66"/>
    <w:autoRedefine/>
    <w:qFormat/>
    <w:uiPriority w:val="0"/>
    <w:rPr>
      <w:rFonts w:ascii="宋体" w:hAnsi="Courier New"/>
      <w:szCs w:val="21"/>
    </w:rPr>
  </w:style>
  <w:style w:type="paragraph" w:styleId="19">
    <w:name w:val="toc 8"/>
    <w:basedOn w:val="1"/>
    <w:next w:val="1"/>
    <w:autoRedefine/>
    <w:unhideWhenUsed/>
    <w:qFormat/>
    <w:uiPriority w:val="39"/>
    <w:pPr>
      <w:pBdr>
        <w:between w:val="double" w:color="auto" w:sz="6" w:space="0"/>
      </w:pBdr>
      <w:tabs>
        <w:tab w:val="clear" w:pos="992"/>
      </w:tabs>
      <w:spacing w:before="120" w:after="120"/>
      <w:ind w:left="1440"/>
      <w:jc w:val="center"/>
    </w:pPr>
    <w:rPr>
      <w:rFonts w:ascii="Calibri" w:hAnsi="Calibri" w:cs="Calibri"/>
      <w:sz w:val="20"/>
      <w:szCs w:val="20"/>
    </w:rPr>
  </w:style>
  <w:style w:type="paragraph" w:styleId="20">
    <w:name w:val="Date"/>
    <w:basedOn w:val="1"/>
    <w:next w:val="1"/>
    <w:link w:val="62"/>
    <w:autoRedefine/>
    <w:semiHidden/>
    <w:unhideWhenUsed/>
    <w:qFormat/>
    <w:uiPriority w:val="99"/>
    <w:pPr>
      <w:ind w:left="100" w:leftChars="2500"/>
    </w:pPr>
    <w:rPr>
      <w:rFonts w:eastAsia="宋体"/>
      <w:sz w:val="21"/>
    </w:rPr>
  </w:style>
  <w:style w:type="paragraph" w:styleId="21">
    <w:name w:val="Balloon Text"/>
    <w:basedOn w:val="1"/>
    <w:link w:val="59"/>
    <w:autoRedefine/>
    <w:semiHidden/>
    <w:unhideWhenUsed/>
    <w:qFormat/>
    <w:uiPriority w:val="99"/>
    <w:rPr>
      <w:rFonts w:eastAsia="宋体"/>
      <w:sz w:val="18"/>
      <w:szCs w:val="18"/>
    </w:rPr>
  </w:style>
  <w:style w:type="paragraph" w:styleId="22">
    <w:name w:val="footer"/>
    <w:basedOn w:val="1"/>
    <w:link w:val="54"/>
    <w:autoRedefine/>
    <w:qFormat/>
    <w:uiPriority w:val="99"/>
    <w:pPr>
      <w:tabs>
        <w:tab w:val="center" w:pos="4153"/>
        <w:tab w:val="right" w:pos="8306"/>
      </w:tabs>
      <w:snapToGrid w:val="0"/>
      <w:jc w:val="left"/>
    </w:pPr>
    <w:rPr>
      <w:rFonts w:eastAsia="宋体"/>
      <w:sz w:val="18"/>
      <w:szCs w:val="18"/>
    </w:rPr>
  </w:style>
  <w:style w:type="paragraph" w:styleId="23">
    <w:name w:val="header"/>
    <w:basedOn w:val="1"/>
    <w:link w:val="56"/>
    <w:autoRedefine/>
    <w:unhideWhenUsed/>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24">
    <w:name w:val="toc 1"/>
    <w:basedOn w:val="1"/>
    <w:next w:val="1"/>
    <w:autoRedefine/>
    <w:qFormat/>
    <w:uiPriority w:val="39"/>
    <w:pPr>
      <w:tabs>
        <w:tab w:val="right" w:leader="dot" w:pos="8302"/>
      </w:tabs>
    </w:pPr>
    <w:rPr>
      <w:rFonts w:ascii="仿宋_GB2312" w:hAnsi="宋体" w:cs="宋体"/>
      <w:b/>
      <w:bCs/>
      <w:kern w:val="0"/>
      <w:sz w:val="30"/>
      <w:szCs w:val="30"/>
    </w:rPr>
  </w:style>
  <w:style w:type="paragraph" w:styleId="25">
    <w:name w:val="toc 4"/>
    <w:basedOn w:val="1"/>
    <w:next w:val="1"/>
    <w:autoRedefine/>
    <w:unhideWhenUsed/>
    <w:qFormat/>
    <w:uiPriority w:val="39"/>
    <w:pPr>
      <w:pBdr>
        <w:between w:val="double" w:color="auto" w:sz="6" w:space="0"/>
      </w:pBdr>
      <w:tabs>
        <w:tab w:val="clear" w:pos="992"/>
      </w:tabs>
      <w:spacing w:before="120" w:after="120"/>
      <w:ind w:left="480"/>
      <w:jc w:val="center"/>
    </w:pPr>
    <w:rPr>
      <w:rFonts w:ascii="Calibri" w:hAnsi="Calibri" w:cs="Calibri"/>
      <w:sz w:val="20"/>
      <w:szCs w:val="20"/>
    </w:rPr>
  </w:style>
  <w:style w:type="paragraph" w:styleId="26">
    <w:name w:val="Subtitle"/>
    <w:basedOn w:val="1"/>
    <w:next w:val="1"/>
    <w:link w:val="51"/>
    <w:autoRedefine/>
    <w:qFormat/>
    <w:uiPriority w:val="11"/>
    <w:pPr>
      <w:spacing w:before="240" w:after="60" w:line="360" w:lineRule="auto"/>
      <w:jc w:val="left"/>
      <w:outlineLvl w:val="1"/>
    </w:pPr>
    <w:rPr>
      <w:rFonts w:ascii="Cambria" w:hAnsi="Cambria"/>
      <w:bCs/>
      <w:kern w:val="28"/>
      <w:sz w:val="30"/>
      <w:szCs w:val="32"/>
    </w:rPr>
  </w:style>
  <w:style w:type="paragraph" w:styleId="27">
    <w:name w:val="footnote text"/>
    <w:basedOn w:val="1"/>
    <w:link w:val="60"/>
    <w:autoRedefine/>
    <w:semiHidden/>
    <w:unhideWhenUsed/>
    <w:qFormat/>
    <w:uiPriority w:val="99"/>
    <w:pPr>
      <w:snapToGrid w:val="0"/>
      <w:jc w:val="left"/>
    </w:pPr>
    <w:rPr>
      <w:rFonts w:eastAsia="宋体"/>
      <w:sz w:val="18"/>
      <w:szCs w:val="18"/>
    </w:rPr>
  </w:style>
  <w:style w:type="paragraph" w:styleId="28">
    <w:name w:val="toc 6"/>
    <w:basedOn w:val="1"/>
    <w:next w:val="1"/>
    <w:autoRedefine/>
    <w:unhideWhenUsed/>
    <w:qFormat/>
    <w:uiPriority w:val="39"/>
    <w:pPr>
      <w:pBdr>
        <w:between w:val="double" w:color="auto" w:sz="6" w:space="0"/>
      </w:pBdr>
      <w:tabs>
        <w:tab w:val="clear" w:pos="992"/>
      </w:tabs>
      <w:spacing w:before="120" w:after="120"/>
      <w:ind w:left="960"/>
      <w:jc w:val="center"/>
    </w:pPr>
    <w:rPr>
      <w:rFonts w:ascii="Calibri" w:hAnsi="Calibri" w:cs="Calibri"/>
      <w:sz w:val="20"/>
      <w:szCs w:val="20"/>
    </w:rPr>
  </w:style>
  <w:style w:type="paragraph" w:styleId="29">
    <w:name w:val="Body Text Indent 3"/>
    <w:basedOn w:val="1"/>
    <w:link w:val="69"/>
    <w:autoRedefine/>
    <w:semiHidden/>
    <w:unhideWhenUsed/>
    <w:qFormat/>
    <w:uiPriority w:val="99"/>
    <w:pPr>
      <w:spacing w:after="120"/>
      <w:ind w:left="420" w:leftChars="200"/>
    </w:pPr>
    <w:rPr>
      <w:rFonts w:ascii="Calibri" w:hAnsi="Calibri" w:eastAsia="宋体"/>
      <w:sz w:val="16"/>
      <w:szCs w:val="16"/>
    </w:rPr>
  </w:style>
  <w:style w:type="paragraph" w:styleId="30">
    <w:name w:val="toc 2"/>
    <w:basedOn w:val="1"/>
    <w:next w:val="1"/>
    <w:autoRedefine/>
    <w:qFormat/>
    <w:uiPriority w:val="39"/>
    <w:pPr>
      <w:tabs>
        <w:tab w:val="right" w:leader="dot" w:pos="8302"/>
      </w:tabs>
      <w:ind w:left="420" w:leftChars="200"/>
    </w:pPr>
    <w:rPr>
      <w:rFonts w:ascii="楷体_GB2312" w:eastAsia="楷体_GB2312"/>
      <w:sz w:val="28"/>
      <w:szCs w:val="28"/>
    </w:rPr>
  </w:style>
  <w:style w:type="paragraph" w:styleId="31">
    <w:name w:val="toc 9"/>
    <w:basedOn w:val="1"/>
    <w:next w:val="1"/>
    <w:autoRedefine/>
    <w:unhideWhenUsed/>
    <w:qFormat/>
    <w:uiPriority w:val="39"/>
    <w:pPr>
      <w:pBdr>
        <w:between w:val="double" w:color="auto" w:sz="6" w:space="0"/>
      </w:pBdr>
      <w:tabs>
        <w:tab w:val="clear" w:pos="992"/>
      </w:tabs>
      <w:spacing w:before="120" w:after="120"/>
      <w:ind w:left="1680"/>
      <w:jc w:val="center"/>
    </w:pPr>
    <w:rPr>
      <w:rFonts w:ascii="Calibri" w:hAnsi="Calibri" w:cs="Calibri"/>
      <w:sz w:val="20"/>
      <w:szCs w:val="20"/>
    </w:rPr>
  </w:style>
  <w:style w:type="paragraph" w:styleId="32">
    <w:name w:val="HTML Preformatted"/>
    <w:basedOn w:val="1"/>
    <w:link w:val="71"/>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rPr>
  </w:style>
  <w:style w:type="paragraph" w:styleId="33">
    <w:name w:val="Normal (Web)"/>
    <w:basedOn w:val="1"/>
    <w:autoRedefine/>
    <w:semiHidden/>
    <w:unhideWhenUsed/>
    <w:qFormat/>
    <w:uiPriority w:val="99"/>
    <w:pPr>
      <w:widowControl/>
      <w:spacing w:before="100" w:beforeAutospacing="1" w:after="100" w:afterAutospacing="1"/>
      <w:jc w:val="left"/>
    </w:pPr>
    <w:rPr>
      <w:rFonts w:ascii="宋体" w:hAnsi="宋体" w:cs="宋体"/>
      <w:kern w:val="0"/>
    </w:rPr>
  </w:style>
  <w:style w:type="paragraph" w:styleId="34">
    <w:name w:val="Title"/>
    <w:basedOn w:val="1"/>
    <w:next w:val="1"/>
    <w:link w:val="63"/>
    <w:autoRedefine/>
    <w:qFormat/>
    <w:uiPriority w:val="0"/>
    <w:pPr>
      <w:spacing w:beforeLines="100" w:afterLines="300" w:line="520" w:lineRule="exact"/>
      <w:ind w:left="0"/>
      <w:jc w:val="center"/>
      <w:outlineLvl w:val="0"/>
    </w:pPr>
    <w:rPr>
      <w:rFonts w:eastAsia="黑体"/>
      <w:b/>
      <w:bCs/>
      <w:sz w:val="32"/>
      <w:szCs w:val="32"/>
    </w:rPr>
  </w:style>
  <w:style w:type="table" w:styleId="36">
    <w:name w:val="Table Grid"/>
    <w:basedOn w:val="35"/>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autoRedefine/>
    <w:qFormat/>
    <w:uiPriority w:val="22"/>
    <w:rPr>
      <w:b/>
      <w:bCs/>
    </w:rPr>
  </w:style>
  <w:style w:type="character" w:styleId="39">
    <w:name w:val="page number"/>
    <w:basedOn w:val="37"/>
    <w:autoRedefine/>
    <w:qFormat/>
    <w:uiPriority w:val="0"/>
  </w:style>
  <w:style w:type="character" w:styleId="40">
    <w:name w:val="Hyperlink"/>
    <w:autoRedefine/>
    <w:unhideWhenUsed/>
    <w:qFormat/>
    <w:uiPriority w:val="99"/>
    <w:rPr>
      <w:color w:val="136EC2"/>
      <w:u w:val="single"/>
    </w:rPr>
  </w:style>
  <w:style w:type="character" w:styleId="41">
    <w:name w:val="footnote reference"/>
    <w:autoRedefine/>
    <w:semiHidden/>
    <w:unhideWhenUsed/>
    <w:qFormat/>
    <w:uiPriority w:val="99"/>
    <w:rPr>
      <w:vertAlign w:val="superscript"/>
    </w:rPr>
  </w:style>
  <w:style w:type="character" w:customStyle="1" w:styleId="42">
    <w:name w:val="标题 1 Char"/>
    <w:basedOn w:val="37"/>
    <w:link w:val="2"/>
    <w:autoRedefine/>
    <w:qFormat/>
    <w:uiPriority w:val="9"/>
    <w:rPr>
      <w:rFonts w:ascii="Times New Roman" w:hAnsi="Times New Roman" w:eastAsia="黑体" w:cs="Times New Roman"/>
      <w:b/>
      <w:bCs/>
      <w:kern w:val="36"/>
      <w:sz w:val="24"/>
      <w:szCs w:val="48"/>
    </w:rPr>
  </w:style>
  <w:style w:type="character" w:customStyle="1" w:styleId="43">
    <w:name w:val="标题 2 Char"/>
    <w:basedOn w:val="37"/>
    <w:link w:val="3"/>
    <w:autoRedefine/>
    <w:qFormat/>
    <w:uiPriority w:val="9"/>
    <w:rPr>
      <w:rFonts w:ascii="Times New Roman" w:hAnsi="Times New Roman" w:eastAsia="仿宋_GB2312" w:cs="Times New Roman"/>
      <w:b/>
      <w:bCs/>
      <w:sz w:val="24"/>
      <w:szCs w:val="32"/>
    </w:rPr>
  </w:style>
  <w:style w:type="character" w:customStyle="1" w:styleId="44">
    <w:name w:val="标题 3 Char"/>
    <w:basedOn w:val="37"/>
    <w:link w:val="4"/>
    <w:autoRedefine/>
    <w:qFormat/>
    <w:uiPriority w:val="9"/>
    <w:rPr>
      <w:rFonts w:ascii="Times New Roman" w:hAnsi="Times New Roman" w:eastAsia="仿宋_GB2312" w:cs="Times New Roman"/>
      <w:b/>
      <w:bCs/>
      <w:sz w:val="24"/>
      <w:szCs w:val="32"/>
    </w:rPr>
  </w:style>
  <w:style w:type="character" w:customStyle="1" w:styleId="45">
    <w:name w:val="标题 4 Char"/>
    <w:basedOn w:val="37"/>
    <w:link w:val="5"/>
    <w:autoRedefine/>
    <w:qFormat/>
    <w:uiPriority w:val="9"/>
    <w:rPr>
      <w:rFonts w:ascii="Times New Roman" w:hAnsi="Times New Roman" w:eastAsia="仿宋_GB2312" w:cs="Times New Roman"/>
      <w:bCs/>
      <w:sz w:val="24"/>
      <w:szCs w:val="28"/>
    </w:rPr>
  </w:style>
  <w:style w:type="character" w:customStyle="1" w:styleId="46">
    <w:name w:val="标题 5 Char"/>
    <w:basedOn w:val="37"/>
    <w:link w:val="6"/>
    <w:autoRedefine/>
    <w:qFormat/>
    <w:uiPriority w:val="0"/>
    <w:rPr>
      <w:rFonts w:ascii="Times New Roman" w:hAnsi="Times New Roman" w:eastAsia="仿宋_GB2312" w:cs="Times New Roman"/>
      <w:b/>
      <w:bCs/>
      <w:sz w:val="28"/>
      <w:szCs w:val="28"/>
    </w:rPr>
  </w:style>
  <w:style w:type="character" w:customStyle="1" w:styleId="47">
    <w:name w:val="标题 6 Char"/>
    <w:basedOn w:val="37"/>
    <w:link w:val="7"/>
    <w:autoRedefine/>
    <w:qFormat/>
    <w:uiPriority w:val="9"/>
    <w:rPr>
      <w:rFonts w:ascii="Cambria" w:hAnsi="Cambria" w:eastAsia="仿宋_GB2312" w:cs="Times New Roman"/>
      <w:bCs/>
      <w:sz w:val="24"/>
      <w:szCs w:val="24"/>
    </w:rPr>
  </w:style>
  <w:style w:type="character" w:customStyle="1" w:styleId="48">
    <w:name w:val="标题 7 Char"/>
    <w:basedOn w:val="37"/>
    <w:link w:val="8"/>
    <w:autoRedefine/>
    <w:qFormat/>
    <w:uiPriority w:val="9"/>
    <w:rPr>
      <w:rFonts w:ascii="Times New Roman" w:hAnsi="Times New Roman" w:eastAsia="仿宋_GB2312" w:cs="Times New Roman"/>
      <w:b/>
      <w:bCs/>
      <w:sz w:val="24"/>
      <w:szCs w:val="24"/>
    </w:rPr>
  </w:style>
  <w:style w:type="character" w:customStyle="1" w:styleId="49">
    <w:name w:val="标题 8 Char"/>
    <w:basedOn w:val="37"/>
    <w:link w:val="9"/>
    <w:autoRedefine/>
    <w:qFormat/>
    <w:uiPriority w:val="9"/>
    <w:rPr>
      <w:rFonts w:ascii="Cambria" w:hAnsi="Cambria" w:eastAsia="宋体" w:cs="Times New Roman"/>
      <w:sz w:val="24"/>
      <w:szCs w:val="24"/>
    </w:rPr>
  </w:style>
  <w:style w:type="character" w:customStyle="1" w:styleId="50">
    <w:name w:val="标题 9 Char"/>
    <w:basedOn w:val="37"/>
    <w:link w:val="10"/>
    <w:autoRedefine/>
    <w:qFormat/>
    <w:uiPriority w:val="9"/>
    <w:rPr>
      <w:rFonts w:ascii="Cambria" w:hAnsi="Cambria" w:eastAsia="宋体" w:cs="Times New Roman"/>
      <w:sz w:val="24"/>
      <w:szCs w:val="21"/>
    </w:rPr>
  </w:style>
  <w:style w:type="character" w:customStyle="1" w:styleId="51">
    <w:name w:val="副标题 Char"/>
    <w:basedOn w:val="37"/>
    <w:link w:val="26"/>
    <w:autoRedefine/>
    <w:qFormat/>
    <w:uiPriority w:val="11"/>
    <w:rPr>
      <w:rFonts w:ascii="Cambria" w:hAnsi="Cambria" w:eastAsia="仿宋_GB2312" w:cs="Times New Roman"/>
      <w:bCs/>
      <w:kern w:val="28"/>
      <w:sz w:val="30"/>
      <w:szCs w:val="32"/>
    </w:rPr>
  </w:style>
  <w:style w:type="paragraph" w:styleId="52">
    <w:name w:val="List Paragraph"/>
    <w:basedOn w:val="1"/>
    <w:autoRedefine/>
    <w:qFormat/>
    <w:uiPriority w:val="34"/>
    <w:pPr>
      <w:ind w:firstLine="420" w:firstLineChars="200"/>
    </w:pPr>
  </w:style>
  <w:style w:type="paragraph" w:customStyle="1" w:styleId="53">
    <w:name w:val="TOC Heading"/>
    <w:basedOn w:val="2"/>
    <w:next w:val="1"/>
    <w:autoRedefine/>
    <w:unhideWhenUsed/>
    <w:qFormat/>
    <w:uiPriority w:val="39"/>
    <w:pPr>
      <w:keepNext/>
      <w:keepLines/>
      <w:numPr>
        <w:numId w:val="0"/>
      </w:numPr>
      <w:spacing w:before="480" w:line="276" w:lineRule="auto"/>
      <w:outlineLvl w:val="9"/>
    </w:pPr>
    <w:rPr>
      <w:rFonts w:ascii="Cambria" w:hAnsi="Cambria"/>
      <w:color w:val="365F91"/>
      <w:kern w:val="0"/>
      <w:sz w:val="28"/>
      <w:szCs w:val="28"/>
    </w:rPr>
  </w:style>
  <w:style w:type="character" w:customStyle="1" w:styleId="54">
    <w:name w:val="页脚 Char"/>
    <w:basedOn w:val="37"/>
    <w:link w:val="22"/>
    <w:autoRedefine/>
    <w:qFormat/>
    <w:uiPriority w:val="99"/>
    <w:rPr>
      <w:rFonts w:ascii="Times New Roman" w:hAnsi="Times New Roman" w:eastAsia="宋体" w:cs="Times New Roman"/>
      <w:sz w:val="18"/>
      <w:szCs w:val="18"/>
    </w:rPr>
  </w:style>
  <w:style w:type="character" w:customStyle="1" w:styleId="55">
    <w:name w:val="正文文本 Char"/>
    <w:basedOn w:val="37"/>
    <w:link w:val="14"/>
    <w:autoRedefine/>
    <w:qFormat/>
    <w:uiPriority w:val="0"/>
    <w:rPr>
      <w:rFonts w:ascii="Times New Roman" w:hAnsi="Times New Roman" w:eastAsia="宋体" w:cs="Times New Roman"/>
      <w:sz w:val="24"/>
      <w:szCs w:val="24"/>
    </w:rPr>
  </w:style>
  <w:style w:type="character" w:customStyle="1" w:styleId="56">
    <w:name w:val="页眉 Char"/>
    <w:basedOn w:val="37"/>
    <w:link w:val="23"/>
    <w:autoRedefine/>
    <w:qFormat/>
    <w:uiPriority w:val="99"/>
    <w:rPr>
      <w:rFonts w:ascii="Times New Roman" w:hAnsi="Times New Roman" w:eastAsia="宋体" w:cs="Times New Roman"/>
      <w:sz w:val="18"/>
      <w:szCs w:val="18"/>
    </w:rPr>
  </w:style>
  <w:style w:type="table" w:customStyle="1" w:styleId="57">
    <w:name w:val="浅色底纹 - 强调文字颜色 11"/>
    <w:basedOn w:val="35"/>
    <w:autoRedefine/>
    <w:qFormat/>
    <w:uiPriority w:val="60"/>
    <w:rPr>
      <w:rFonts w:ascii="Calibri" w:hAnsi="Calibri" w:eastAsia="宋体" w:cs="Times New Roman"/>
      <w:color w:val="365F91"/>
      <w:kern w:val="0"/>
      <w:sz w:val="20"/>
      <w:szCs w:val="20"/>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table" w:customStyle="1" w:styleId="58">
    <w:name w:val="浅色网格 - 强调文字颜色 11"/>
    <w:basedOn w:val="35"/>
    <w:autoRedefine/>
    <w:qFormat/>
    <w:uiPriority w:val="62"/>
    <w:rPr>
      <w:rFonts w:ascii="Calibri" w:hAnsi="Calibri" w:eastAsia="宋体" w:cs="Times New Roman"/>
      <w:kern w:val="0"/>
      <w:sz w:val="20"/>
      <w:szCs w:val="2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blStylePr w:type="firstRow">
      <w:pPr>
        <w:spacing w:before="0" w:after="0" w:line="240" w:lineRule="auto"/>
      </w:pPr>
      <w:rPr>
        <w:rFonts w:ascii="Cambria" w:hAnsi="Cambria" w:eastAsia="宋体" w:cs="Times New Roman"/>
        <w:b/>
        <w:bCs/>
      </w:rPr>
      <w:tcPr>
        <w:tcBorders>
          <w:top w:val="single" w:color="4F81BD" w:sz="8" w:space="0"/>
          <w:left w:val="single" w:color="4F81BD" w:sz="8" w:space="0"/>
          <w:bottom w:val="single" w:color="4F81BD" w:sz="18" w:space="0"/>
          <w:right w:val="single" w:color="4F81BD" w:sz="8" w:space="0"/>
          <w:insideH w:val="nil"/>
          <w:insideV w:val="single" w:sz="8" w:space="0"/>
        </w:tcBorders>
      </w:tcPr>
    </w:tblStylePr>
    <w:tblStylePr w:type="lastRow">
      <w:pPr>
        <w:spacing w:before="0" w:after="0" w:line="240" w:lineRule="auto"/>
      </w:pPr>
      <w:rPr>
        <w:rFonts w:ascii="Cambria" w:hAnsi="Cambria" w:eastAsia="宋体" w:cs="Times New Roman"/>
        <w:b/>
        <w:bCs/>
      </w:r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ascii="Cambria" w:hAnsi="Cambria" w:eastAsia="宋体" w:cs="Times New Roman"/>
        <w:b/>
        <w:bCs/>
      </w:rPr>
    </w:tblStylePr>
    <w:tblStylePr w:type="lastCol">
      <w:rPr>
        <w:rFonts w:ascii="Cambria" w:hAnsi="Cambria" w:eastAsia="宋体" w:cs="Times New Roman"/>
        <w:b/>
        <w:bCs/>
      </w:rPr>
      <w:tcPr>
        <w:tcBorders>
          <w:top w:val="single" w:color="4F81BD" w:sz="8" w:space="0"/>
          <w:left w:val="single" w:color="4F81BD" w:sz="8" w:space="0"/>
          <w:bottom w:val="single" w:color="4F81BD" w:sz="8" w:space="0"/>
          <w:right w:val="single" w:color="4F81BD" w:sz="8" w:space="0"/>
        </w:tcBorders>
      </w:tcPr>
    </w:tblStylePr>
    <w:tblStylePr w:type="band1Vert">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V w:val="single" w:sz="8" w:space="0"/>
        </w:tcBorders>
      </w:tcPr>
    </w:tblStylePr>
  </w:style>
  <w:style w:type="character" w:customStyle="1" w:styleId="59">
    <w:name w:val="批注框文本 Char"/>
    <w:basedOn w:val="37"/>
    <w:link w:val="21"/>
    <w:autoRedefine/>
    <w:semiHidden/>
    <w:qFormat/>
    <w:uiPriority w:val="99"/>
    <w:rPr>
      <w:rFonts w:ascii="Times New Roman" w:hAnsi="Times New Roman" w:eastAsia="宋体" w:cs="Times New Roman"/>
      <w:sz w:val="18"/>
      <w:szCs w:val="18"/>
    </w:rPr>
  </w:style>
  <w:style w:type="character" w:customStyle="1" w:styleId="60">
    <w:name w:val="脚注文本 Char"/>
    <w:basedOn w:val="37"/>
    <w:link w:val="27"/>
    <w:autoRedefine/>
    <w:semiHidden/>
    <w:qFormat/>
    <w:uiPriority w:val="99"/>
    <w:rPr>
      <w:rFonts w:ascii="Times New Roman" w:hAnsi="Times New Roman" w:eastAsia="宋体" w:cs="Times New Roman"/>
      <w:sz w:val="18"/>
      <w:szCs w:val="18"/>
    </w:rPr>
  </w:style>
  <w:style w:type="paragraph" w:customStyle="1" w:styleId="61">
    <w:name w:val="Revision"/>
    <w:autoRedefine/>
    <w:hidden/>
    <w:semiHidden/>
    <w:qFormat/>
    <w:uiPriority w:val="99"/>
    <w:pPr>
      <w:spacing w:beforeLines="50" w:afterLines="50" w:line="360" w:lineRule="exact"/>
      <w:ind w:left="992" w:hanging="992"/>
      <w:jc w:val="both"/>
    </w:pPr>
    <w:rPr>
      <w:rFonts w:ascii="Times New Roman" w:hAnsi="Times New Roman" w:eastAsia="宋体" w:cs="Times New Roman"/>
      <w:kern w:val="2"/>
      <w:sz w:val="21"/>
      <w:szCs w:val="24"/>
      <w:lang w:val="en-US" w:eastAsia="zh-CN" w:bidi="ar-SA"/>
    </w:rPr>
  </w:style>
  <w:style w:type="character" w:customStyle="1" w:styleId="62">
    <w:name w:val="日期 Char"/>
    <w:basedOn w:val="37"/>
    <w:link w:val="20"/>
    <w:autoRedefine/>
    <w:semiHidden/>
    <w:qFormat/>
    <w:uiPriority w:val="99"/>
    <w:rPr>
      <w:rFonts w:ascii="Times New Roman" w:hAnsi="Times New Roman" w:eastAsia="宋体" w:cs="Times New Roman"/>
      <w:szCs w:val="24"/>
    </w:rPr>
  </w:style>
  <w:style w:type="character" w:customStyle="1" w:styleId="63">
    <w:name w:val="标题 Char"/>
    <w:basedOn w:val="37"/>
    <w:link w:val="34"/>
    <w:autoRedefine/>
    <w:qFormat/>
    <w:uiPriority w:val="0"/>
    <w:rPr>
      <w:rFonts w:ascii="Times New Roman" w:hAnsi="Times New Roman" w:eastAsia="黑体" w:cs="Times New Roman"/>
      <w:b/>
      <w:bCs/>
      <w:sz w:val="32"/>
      <w:szCs w:val="32"/>
    </w:rPr>
  </w:style>
  <w:style w:type="character" w:customStyle="1" w:styleId="64">
    <w:name w:val="文档结构图 Char"/>
    <w:basedOn w:val="37"/>
    <w:link w:val="13"/>
    <w:autoRedefine/>
    <w:semiHidden/>
    <w:qFormat/>
    <w:uiPriority w:val="99"/>
    <w:rPr>
      <w:rFonts w:ascii="宋体" w:hAnsi="Times New Roman" w:eastAsia="宋体" w:cs="Times New Roman"/>
      <w:sz w:val="18"/>
      <w:szCs w:val="18"/>
    </w:rPr>
  </w:style>
  <w:style w:type="paragraph" w:customStyle="1" w:styleId="65">
    <w:name w:val="样式5"/>
    <w:basedOn w:val="7"/>
    <w:link w:val="67"/>
    <w:autoRedefine/>
    <w:qFormat/>
    <w:uiPriority w:val="0"/>
    <w:pPr>
      <w:ind w:left="0" w:firstLine="992"/>
    </w:pPr>
  </w:style>
  <w:style w:type="character" w:customStyle="1" w:styleId="66">
    <w:name w:val="纯文本 Char"/>
    <w:basedOn w:val="37"/>
    <w:link w:val="18"/>
    <w:autoRedefine/>
    <w:qFormat/>
    <w:uiPriority w:val="0"/>
    <w:rPr>
      <w:rFonts w:ascii="宋体" w:hAnsi="Courier New" w:eastAsia="仿宋_GB2312" w:cs="Times New Roman"/>
      <w:sz w:val="24"/>
      <w:szCs w:val="21"/>
    </w:rPr>
  </w:style>
  <w:style w:type="character" w:customStyle="1" w:styleId="67">
    <w:name w:val="样式5 Char"/>
    <w:basedOn w:val="47"/>
    <w:link w:val="65"/>
    <w:autoRedefine/>
    <w:qFormat/>
    <w:uiPriority w:val="0"/>
  </w:style>
  <w:style w:type="character" w:customStyle="1" w:styleId="68">
    <w:name w:val="正文文本缩进 Char"/>
    <w:basedOn w:val="37"/>
    <w:link w:val="15"/>
    <w:autoRedefine/>
    <w:qFormat/>
    <w:uiPriority w:val="0"/>
    <w:rPr>
      <w:rFonts w:ascii="Times New Roman" w:hAnsi="Times New Roman" w:eastAsia="仿宋_GB2312" w:cs="Times New Roman"/>
      <w:sz w:val="28"/>
      <w:szCs w:val="24"/>
    </w:rPr>
  </w:style>
  <w:style w:type="character" w:customStyle="1" w:styleId="69">
    <w:name w:val="正文文本缩进 3 Char"/>
    <w:basedOn w:val="37"/>
    <w:link w:val="29"/>
    <w:autoRedefine/>
    <w:semiHidden/>
    <w:qFormat/>
    <w:uiPriority w:val="99"/>
    <w:rPr>
      <w:rFonts w:ascii="Calibri" w:hAnsi="Calibri" w:eastAsia="宋体" w:cs="Times New Roman"/>
      <w:sz w:val="16"/>
      <w:szCs w:val="16"/>
    </w:rPr>
  </w:style>
  <w:style w:type="paragraph" w:styleId="70">
    <w:name w:val="No Spacing"/>
    <w:autoRedefine/>
    <w:qFormat/>
    <w:uiPriority w:val="1"/>
    <w:pPr>
      <w:widowControl w:val="0"/>
      <w:jc w:val="center"/>
    </w:pPr>
    <w:rPr>
      <w:rFonts w:ascii="Times New Roman" w:hAnsi="Times New Roman" w:eastAsia="宋体" w:cs="Times New Roman"/>
      <w:b/>
      <w:kern w:val="0"/>
      <w:sz w:val="28"/>
      <w:szCs w:val="24"/>
      <w:lang w:val="en-US" w:eastAsia="zh-CN" w:bidi="ar-SA"/>
    </w:rPr>
  </w:style>
  <w:style w:type="character" w:customStyle="1" w:styleId="71">
    <w:name w:val="HTML 预设格式 Char"/>
    <w:basedOn w:val="37"/>
    <w:link w:val="32"/>
    <w:autoRedefine/>
    <w:semiHidden/>
    <w:qFormat/>
    <w:uiPriority w:val="99"/>
    <w:rPr>
      <w:rFonts w:ascii="Arial" w:hAnsi="Arial" w:eastAsia="仿宋_GB2312" w:cs="Times New Roman"/>
      <w:kern w:val="0"/>
      <w:sz w:val="24"/>
      <w:szCs w:val="24"/>
    </w:rPr>
  </w:style>
  <w:style w:type="character" w:customStyle="1" w:styleId="72">
    <w:name w:val="grid-r1"/>
    <w:autoRedefine/>
    <w:qFormat/>
    <w:uiPriority w:val="0"/>
  </w:style>
  <w:style w:type="paragraph" w:customStyle="1" w:styleId="73">
    <w:name w:val="reader-word-layer"/>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74">
    <w:name w:val="样式 标题 5 + 段前: 0.5 行 段后: 0.5 行 行距: 1.5 倍行距"/>
    <w:basedOn w:val="6"/>
    <w:autoRedefine/>
    <w:qFormat/>
    <w:uiPriority w:val="0"/>
    <w:pPr>
      <w:keepNext w:val="0"/>
      <w:keepLines w:val="0"/>
      <w:numPr>
        <w:ilvl w:val="0"/>
        <w:numId w:val="0"/>
      </w:numPr>
      <w:tabs>
        <w:tab w:val="clear" w:pos="992"/>
      </w:tabs>
      <w:adjustRightInd w:val="0"/>
      <w:spacing w:beforeLines="0" w:afterLines="0" w:line="360" w:lineRule="auto"/>
      <w:ind w:left="1008" w:hanging="1008"/>
      <w:textAlignment w:val="baseline"/>
      <w:outlineLvl w:val="3"/>
    </w:pPr>
    <w:rPr>
      <w:rFonts w:eastAsia="宋体" w:cs="宋体"/>
      <w:b w:val="0"/>
      <w:bCs w:val="0"/>
      <w:sz w:val="24"/>
      <w:szCs w:val="20"/>
    </w:rPr>
  </w:style>
  <w:style w:type="paragraph" w:customStyle="1" w:styleId="75">
    <w:name w:val="Default"/>
    <w:autoRedefine/>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76">
    <w:name w:val="Paragraph L9"/>
    <w:basedOn w:val="1"/>
    <w:autoRedefine/>
    <w:qFormat/>
    <w:uiPriority w:val="99"/>
    <w:pPr>
      <w:widowControl/>
      <w:numPr>
        <w:ilvl w:val="8"/>
        <w:numId w:val="3"/>
      </w:numPr>
      <w:adjustRightInd w:val="0"/>
      <w:spacing w:after="240" w:line="360" w:lineRule="atLeast"/>
      <w:textAlignment w:val="baseline"/>
      <w:outlineLvl w:val="8"/>
    </w:pPr>
    <w:rPr>
      <w:kern w:val="0"/>
      <w:lang w:val="en-GB"/>
    </w:rPr>
  </w:style>
  <w:style w:type="paragraph" w:customStyle="1" w:styleId="77">
    <w:name w:val="Paragraph L8"/>
    <w:basedOn w:val="1"/>
    <w:autoRedefine/>
    <w:qFormat/>
    <w:uiPriority w:val="99"/>
    <w:pPr>
      <w:widowControl/>
      <w:numPr>
        <w:ilvl w:val="7"/>
        <w:numId w:val="3"/>
      </w:numPr>
      <w:adjustRightInd w:val="0"/>
      <w:spacing w:after="240" w:line="360" w:lineRule="atLeast"/>
      <w:textAlignment w:val="baseline"/>
      <w:outlineLvl w:val="7"/>
    </w:pPr>
    <w:rPr>
      <w:kern w:val="0"/>
      <w:lang w:val="en-GB"/>
    </w:rPr>
  </w:style>
  <w:style w:type="paragraph" w:customStyle="1" w:styleId="78">
    <w:name w:val="Paragraph L7"/>
    <w:basedOn w:val="1"/>
    <w:autoRedefine/>
    <w:qFormat/>
    <w:uiPriority w:val="99"/>
    <w:pPr>
      <w:widowControl/>
      <w:numPr>
        <w:ilvl w:val="6"/>
        <w:numId w:val="3"/>
      </w:numPr>
      <w:adjustRightInd w:val="0"/>
      <w:spacing w:after="240" w:line="360" w:lineRule="atLeast"/>
      <w:textAlignment w:val="baseline"/>
      <w:outlineLvl w:val="6"/>
    </w:pPr>
    <w:rPr>
      <w:kern w:val="0"/>
      <w:lang w:val="en-GB"/>
    </w:rPr>
  </w:style>
  <w:style w:type="paragraph" w:customStyle="1" w:styleId="79">
    <w:name w:val="Paragraph L6"/>
    <w:basedOn w:val="1"/>
    <w:autoRedefine/>
    <w:qFormat/>
    <w:uiPriority w:val="99"/>
    <w:pPr>
      <w:widowControl/>
      <w:numPr>
        <w:ilvl w:val="5"/>
        <w:numId w:val="3"/>
      </w:numPr>
      <w:adjustRightInd w:val="0"/>
      <w:spacing w:after="240" w:line="360" w:lineRule="atLeast"/>
      <w:textAlignment w:val="baseline"/>
      <w:outlineLvl w:val="5"/>
    </w:pPr>
    <w:rPr>
      <w:kern w:val="0"/>
      <w:lang w:val="en-GB"/>
    </w:rPr>
  </w:style>
  <w:style w:type="paragraph" w:customStyle="1" w:styleId="80">
    <w:name w:val="Paragraph L4"/>
    <w:basedOn w:val="1"/>
    <w:next w:val="1"/>
    <w:autoRedefine/>
    <w:qFormat/>
    <w:uiPriority w:val="99"/>
    <w:pPr>
      <w:widowControl/>
      <w:numPr>
        <w:ilvl w:val="3"/>
        <w:numId w:val="3"/>
      </w:numPr>
      <w:adjustRightInd w:val="0"/>
      <w:spacing w:after="240" w:line="360" w:lineRule="atLeast"/>
      <w:textAlignment w:val="baseline"/>
      <w:outlineLvl w:val="3"/>
    </w:pPr>
    <w:rPr>
      <w:kern w:val="0"/>
      <w:lang w:val="en-GB"/>
    </w:rPr>
  </w:style>
  <w:style w:type="paragraph" w:customStyle="1" w:styleId="81">
    <w:name w:val="Paragraph L3"/>
    <w:basedOn w:val="1"/>
    <w:autoRedefine/>
    <w:qFormat/>
    <w:uiPriority w:val="99"/>
    <w:pPr>
      <w:widowControl/>
      <w:numPr>
        <w:ilvl w:val="2"/>
        <w:numId w:val="3"/>
      </w:numPr>
      <w:adjustRightInd w:val="0"/>
      <w:spacing w:after="240" w:line="360" w:lineRule="auto"/>
      <w:textAlignment w:val="baseline"/>
      <w:outlineLvl w:val="2"/>
    </w:pPr>
    <w:rPr>
      <w:kern w:val="0"/>
      <w:lang w:val="en-GB"/>
    </w:rPr>
  </w:style>
  <w:style w:type="paragraph" w:customStyle="1" w:styleId="82">
    <w:name w:val="Paragraph L1"/>
    <w:basedOn w:val="1"/>
    <w:next w:val="1"/>
    <w:autoRedefine/>
    <w:qFormat/>
    <w:uiPriority w:val="99"/>
    <w:pPr>
      <w:widowControl/>
      <w:numPr>
        <w:ilvl w:val="0"/>
        <w:numId w:val="3"/>
      </w:numPr>
      <w:adjustRightInd w:val="0"/>
      <w:spacing w:after="240" w:line="360" w:lineRule="auto"/>
      <w:textAlignment w:val="baseline"/>
      <w:outlineLvl w:val="0"/>
    </w:pPr>
    <w:rPr>
      <w:lang w:val="en-GB"/>
    </w:rPr>
  </w:style>
  <w:style w:type="paragraph" w:customStyle="1" w:styleId="83">
    <w:name w:val="WPSOffice手动目录 1"/>
    <w:autoRedefine/>
    <w:qFormat/>
    <w:uiPriority w:val="0"/>
    <w:pPr>
      <w:ind w:leftChars="0"/>
    </w:pPr>
    <w:rPr>
      <w:rFonts w:ascii="Times New Roman" w:hAnsi="Times New Roman" w:eastAsia="宋体" w:cs="Times New Roman"/>
      <w:sz w:val="20"/>
      <w:szCs w:val="20"/>
    </w:rPr>
  </w:style>
  <w:style w:type="paragraph" w:customStyle="1" w:styleId="84">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974708d-b5f4-4ee1-b522-16a6fcb478cf}"/>
        <w:style w:val=""/>
        <w:category>
          <w:name w:val="常规"/>
          <w:gallery w:val="placeholder"/>
        </w:category>
        <w:types>
          <w:type w:val="bbPlcHdr"/>
        </w:types>
        <w:behaviors>
          <w:behavior w:val="content"/>
        </w:behaviors>
        <w:description w:val=""/>
        <w:guid w:val="{6974708d-b5f4-4ee1-b522-16a6fcb478cf}"/>
      </w:docPartPr>
      <w:docPartBody>
        <w:p>
          <w:r>
            <w:rPr>
              <w:color w:val="808080"/>
            </w:rPr>
            <w:t>单击此处输入文字。</w:t>
          </w:r>
        </w:p>
      </w:docPartBody>
    </w:docPart>
    <w:docPart>
      <w:docPartPr>
        <w:name w:val="{7377616e-98e1-463a-8132-d8941a961121}"/>
        <w:style w:val=""/>
        <w:category>
          <w:name w:val="常规"/>
          <w:gallery w:val="placeholder"/>
        </w:category>
        <w:types>
          <w:type w:val="bbPlcHdr"/>
        </w:types>
        <w:behaviors>
          <w:behavior w:val="content"/>
        </w:behaviors>
        <w:description w:val=""/>
        <w:guid w:val="{7377616e-98e1-463a-8132-d8941a961121}"/>
      </w:docPartPr>
      <w:docPartBody>
        <w:p>
          <w:r>
            <w:rPr>
              <w:color w:val="808080"/>
            </w:rPr>
            <w:t>单击此处输入文字。</w:t>
          </w:r>
        </w:p>
      </w:docPartBody>
    </w:docPart>
    <w:docPart>
      <w:docPartPr>
        <w:name w:val="{63c4552e-eb61-4756-99f8-67565aa912fa}"/>
        <w:style w:val=""/>
        <w:category>
          <w:name w:val="常规"/>
          <w:gallery w:val="placeholder"/>
        </w:category>
        <w:types>
          <w:type w:val="bbPlcHdr"/>
        </w:types>
        <w:behaviors>
          <w:behavior w:val="content"/>
        </w:behaviors>
        <w:description w:val=""/>
        <w:guid w:val="{63c4552e-eb61-4756-99f8-67565aa912fa}"/>
      </w:docPartPr>
      <w:docPartBody>
        <w:p>
          <w:r>
            <w:rPr>
              <w:color w:val="808080"/>
            </w:rPr>
            <w:t>单击此处输入文字。</w:t>
          </w:r>
        </w:p>
      </w:docPartBody>
    </w:docPart>
    <w:docPart>
      <w:docPartPr>
        <w:name w:val="{245ade77-08b0-433a-969a-d7210916128a}"/>
        <w:style w:val=""/>
        <w:category>
          <w:name w:val="常规"/>
          <w:gallery w:val="placeholder"/>
        </w:category>
        <w:types>
          <w:type w:val="bbPlcHdr"/>
        </w:types>
        <w:behaviors>
          <w:behavior w:val="content"/>
        </w:behaviors>
        <w:description w:val=""/>
        <w:guid w:val="{245ade77-08b0-433a-969a-d7210916128a}"/>
      </w:docPartPr>
      <w:docPartBody>
        <w:p>
          <w:r>
            <w:rPr>
              <w:color w:val="808080"/>
            </w:rPr>
            <w:t>单击此处输入文字。</w:t>
          </w:r>
        </w:p>
      </w:docPartBody>
    </w:docPart>
    <w:docPart>
      <w:docPartPr>
        <w:name w:val="{b3a462bd-f241-4d99-af00-f006d7daba8e}"/>
        <w:style w:val=""/>
        <w:category>
          <w:name w:val="常规"/>
          <w:gallery w:val="placeholder"/>
        </w:category>
        <w:types>
          <w:type w:val="bbPlcHdr"/>
        </w:types>
        <w:behaviors>
          <w:behavior w:val="content"/>
        </w:behaviors>
        <w:description w:val=""/>
        <w:guid w:val="{b3a462bd-f241-4d99-af00-f006d7daba8e}"/>
      </w:docPartPr>
      <w:docPartBody>
        <w:p>
          <w:r>
            <w:rPr>
              <w:color w:val="808080"/>
            </w:rPr>
            <w:t>单击此处输入文字。</w:t>
          </w:r>
        </w:p>
      </w:docPartBody>
    </w:docPart>
    <w:docPart>
      <w:docPartPr>
        <w:name w:val="{71e97057-bbfe-4c36-8592-6b15b15b22b2}"/>
        <w:style w:val=""/>
        <w:category>
          <w:name w:val="常规"/>
          <w:gallery w:val="placeholder"/>
        </w:category>
        <w:types>
          <w:type w:val="bbPlcHdr"/>
        </w:types>
        <w:behaviors>
          <w:behavior w:val="content"/>
        </w:behaviors>
        <w:description w:val=""/>
        <w:guid w:val="{71e97057-bbfe-4c36-8592-6b15b15b22b2}"/>
      </w:docPartPr>
      <w:docPartBody>
        <w:p>
          <w:r>
            <w:rPr>
              <w:color w:val="808080"/>
            </w:rPr>
            <w:t>单击此处输入文字。</w:t>
          </w:r>
        </w:p>
      </w:docPartBody>
    </w:docPart>
    <w:docPart>
      <w:docPartPr>
        <w:name w:val="{69331a6b-75f3-4f16-a518-f38040ca7bee}"/>
        <w:style w:val=""/>
        <w:category>
          <w:name w:val="常规"/>
          <w:gallery w:val="placeholder"/>
        </w:category>
        <w:types>
          <w:type w:val="bbPlcHdr"/>
        </w:types>
        <w:behaviors>
          <w:behavior w:val="content"/>
        </w:behaviors>
        <w:description w:val=""/>
        <w:guid w:val="{69331a6b-75f3-4f16-a518-f38040ca7bee}"/>
      </w:docPartPr>
      <w:docPartBody>
        <w:p>
          <w:r>
            <w:rPr>
              <w:color w:val="808080"/>
            </w:rPr>
            <w:t>单击此处输入文字。</w:t>
          </w:r>
        </w:p>
      </w:docPartBody>
    </w:docPart>
    <w:docPart>
      <w:docPartPr>
        <w:name w:val="{bbe567ae-73da-4f24-9ce1-d204382229ec}"/>
        <w:style w:val=""/>
        <w:category>
          <w:name w:val="常规"/>
          <w:gallery w:val="placeholder"/>
        </w:category>
        <w:types>
          <w:type w:val="bbPlcHdr"/>
        </w:types>
        <w:behaviors>
          <w:behavior w:val="content"/>
        </w:behaviors>
        <w:description w:val=""/>
        <w:guid w:val="{bbe567ae-73da-4f24-9ce1-d204382229ec}"/>
      </w:docPartPr>
      <w:docPartBody>
        <w:p>
          <w:r>
            <w:rPr>
              <w:color w:val="808080"/>
            </w:rPr>
            <w:t>单击此处输入文字。</w:t>
          </w:r>
        </w:p>
      </w:docPartBody>
    </w:docPart>
    <w:docPart>
      <w:docPartPr>
        <w:name w:val="{23a984be-8c9b-4b8d-91ba-5121ca93c078}"/>
        <w:style w:val=""/>
        <w:category>
          <w:name w:val="常规"/>
          <w:gallery w:val="placeholder"/>
        </w:category>
        <w:types>
          <w:type w:val="bbPlcHdr"/>
        </w:types>
        <w:behaviors>
          <w:behavior w:val="content"/>
        </w:behaviors>
        <w:description w:val=""/>
        <w:guid w:val="{23a984be-8c9b-4b8d-91ba-5121ca93c078}"/>
      </w:docPartPr>
      <w:docPartBody>
        <w:p>
          <w:r>
            <w:rPr>
              <w:color w:val="808080"/>
            </w:rPr>
            <w:t>单击此处输入文字。</w:t>
          </w:r>
        </w:p>
      </w:docPartBody>
    </w:docPart>
    <w:docPart>
      <w:docPartPr>
        <w:name w:val="{c7d425a8-3993-4d62-9af5-ca06d8bb7f0d}"/>
        <w:style w:val=""/>
        <w:category>
          <w:name w:val="常规"/>
          <w:gallery w:val="placeholder"/>
        </w:category>
        <w:types>
          <w:type w:val="bbPlcHdr"/>
        </w:types>
        <w:behaviors>
          <w:behavior w:val="content"/>
        </w:behaviors>
        <w:description w:val=""/>
        <w:guid w:val="{c7d425a8-3993-4d62-9af5-ca06d8bb7f0d}"/>
      </w:docPartPr>
      <w:docPartBody>
        <w:p>
          <w:r>
            <w:rPr>
              <w:color w:val="808080"/>
            </w:rPr>
            <w:t>单击此处输入文字。</w:t>
          </w:r>
        </w:p>
      </w:docPartBody>
    </w:docPart>
    <w:docPart>
      <w:docPartPr>
        <w:name w:val="{b9bf7d7b-f5c8-4f0f-9a6b-d58300a6bb0d}"/>
        <w:style w:val=""/>
        <w:category>
          <w:name w:val="常规"/>
          <w:gallery w:val="placeholder"/>
        </w:category>
        <w:types>
          <w:type w:val="bbPlcHdr"/>
        </w:types>
        <w:behaviors>
          <w:behavior w:val="content"/>
        </w:behaviors>
        <w:description w:val=""/>
        <w:guid w:val="{b9bf7d7b-f5c8-4f0f-9a6b-d58300a6bb0d}"/>
      </w:docPartPr>
      <w:docPartBody>
        <w:p>
          <w:r>
            <w:rPr>
              <w:color w:val="808080"/>
            </w:rPr>
            <w:t>单击此处输入文字。</w:t>
          </w:r>
        </w:p>
      </w:docPartBody>
    </w:docPart>
    <w:docPart>
      <w:docPartPr>
        <w:name w:val="{b1e71989-941e-4991-91d5-d8c914317183}"/>
        <w:style w:val=""/>
        <w:category>
          <w:name w:val="常规"/>
          <w:gallery w:val="placeholder"/>
        </w:category>
        <w:types>
          <w:type w:val="bbPlcHdr"/>
        </w:types>
        <w:behaviors>
          <w:behavior w:val="content"/>
        </w:behaviors>
        <w:description w:val=""/>
        <w:guid w:val="{b1e71989-941e-4991-91d5-d8c914317183}"/>
      </w:docPartPr>
      <w:docPartBody>
        <w:p>
          <w:r>
            <w:rPr>
              <w:color w:val="808080"/>
            </w:rPr>
            <w:t>单击此处输入文字。</w:t>
          </w:r>
        </w:p>
      </w:docPartBody>
    </w:docPart>
    <w:docPart>
      <w:docPartPr>
        <w:name w:val="{da0f9276-4029-4eb2-9abe-9a5cc7babdc1}"/>
        <w:style w:val=""/>
        <w:category>
          <w:name w:val="常规"/>
          <w:gallery w:val="placeholder"/>
        </w:category>
        <w:types>
          <w:type w:val="bbPlcHdr"/>
        </w:types>
        <w:behaviors>
          <w:behavior w:val="content"/>
        </w:behaviors>
        <w:description w:val=""/>
        <w:guid w:val="{da0f9276-4029-4eb2-9abe-9a5cc7babdc1}"/>
      </w:docPartPr>
      <w:docPartBody>
        <w:p>
          <w:r>
            <w:rPr>
              <w:color w:val="808080"/>
            </w:rPr>
            <w:t>单击此处输入文字。</w:t>
          </w:r>
        </w:p>
      </w:docPartBody>
    </w:docPart>
    <w:docPart>
      <w:docPartPr>
        <w:name w:val="{8483b21a-ecfb-4733-9a34-f792b50682c1}"/>
        <w:style w:val=""/>
        <w:category>
          <w:name w:val="常规"/>
          <w:gallery w:val="placeholder"/>
        </w:category>
        <w:types>
          <w:type w:val="bbPlcHdr"/>
        </w:types>
        <w:behaviors>
          <w:behavior w:val="content"/>
        </w:behaviors>
        <w:description w:val=""/>
        <w:guid w:val="{8483b21a-ecfb-4733-9a34-f792b50682c1}"/>
      </w:docPartPr>
      <w:docPartBody>
        <w:p>
          <w:r>
            <w:rPr>
              <w:color w:val="808080"/>
            </w:rPr>
            <w:t>单击此处输入文字。</w:t>
          </w:r>
        </w:p>
      </w:docPartBody>
    </w:docPart>
    <w:docPart>
      <w:docPartPr>
        <w:name w:val="{a833bf63-12be-4d34-85d2-2f8ea6066d6d}"/>
        <w:style w:val=""/>
        <w:category>
          <w:name w:val="常规"/>
          <w:gallery w:val="placeholder"/>
        </w:category>
        <w:types>
          <w:type w:val="bbPlcHdr"/>
        </w:types>
        <w:behaviors>
          <w:behavior w:val="content"/>
        </w:behaviors>
        <w:description w:val=""/>
        <w:guid w:val="{a833bf63-12be-4d34-85d2-2f8ea6066d6d}"/>
      </w:docPartPr>
      <w:docPartBody>
        <w:p>
          <w:r>
            <w:rPr>
              <w:color w:val="808080"/>
            </w:rPr>
            <w:t>单击此处输入文字。</w:t>
          </w:r>
        </w:p>
      </w:docPartBody>
    </w:docPart>
    <w:docPart>
      <w:docPartPr>
        <w:name w:val="{b01f3ac7-708f-4f57-86fd-28d87e1daca8}"/>
        <w:style w:val=""/>
        <w:category>
          <w:name w:val="常规"/>
          <w:gallery w:val="placeholder"/>
        </w:category>
        <w:types>
          <w:type w:val="bbPlcHdr"/>
        </w:types>
        <w:behaviors>
          <w:behavior w:val="content"/>
        </w:behaviors>
        <w:description w:val=""/>
        <w:guid w:val="{b01f3ac7-708f-4f57-86fd-28d87e1daca8}"/>
      </w:docPartPr>
      <w:docPartBody>
        <w:p>
          <w:r>
            <w:rPr>
              <w:color w:val="808080"/>
            </w:rPr>
            <w:t>单击此处输入文字。</w:t>
          </w:r>
        </w:p>
      </w:docPartBody>
    </w:docPart>
    <w:docPart>
      <w:docPartPr>
        <w:name w:val="{330ae440-5d4e-4211-80cc-2cf365b2c63d}"/>
        <w:style w:val=""/>
        <w:category>
          <w:name w:val="常规"/>
          <w:gallery w:val="placeholder"/>
        </w:category>
        <w:types>
          <w:type w:val="bbPlcHdr"/>
        </w:types>
        <w:behaviors>
          <w:behavior w:val="content"/>
        </w:behaviors>
        <w:description w:val=""/>
        <w:guid w:val="{330ae440-5d4e-4211-80cc-2cf365b2c63d}"/>
      </w:docPartPr>
      <w:docPartBody>
        <w:p>
          <w:r>
            <w:rPr>
              <w:color w:val="808080"/>
            </w:rPr>
            <w:t>单击此处输入文字。</w:t>
          </w:r>
        </w:p>
      </w:docPartBody>
    </w:docPart>
    <w:docPart>
      <w:docPartPr>
        <w:name w:val="{8a22883c-167d-4ef8-a75d-637700cc0cdd}"/>
        <w:style w:val=""/>
        <w:category>
          <w:name w:val="常规"/>
          <w:gallery w:val="placeholder"/>
        </w:category>
        <w:types>
          <w:type w:val="bbPlcHdr"/>
        </w:types>
        <w:behaviors>
          <w:behavior w:val="content"/>
        </w:behaviors>
        <w:description w:val=""/>
        <w:guid w:val="{8a22883c-167d-4ef8-a75d-637700cc0cdd}"/>
      </w:docPartPr>
      <w:docPartBody>
        <w:p>
          <w:r>
            <w:rPr>
              <w:color w:val="808080"/>
            </w:rPr>
            <w:t>单击此处输入文字。</w:t>
          </w:r>
        </w:p>
      </w:docPartBody>
    </w:docPart>
    <w:docPart>
      <w:docPartPr>
        <w:name w:val="{4d960ec4-52e4-4623-875f-aeadc111c839}"/>
        <w:style w:val=""/>
        <w:category>
          <w:name w:val="常规"/>
          <w:gallery w:val="placeholder"/>
        </w:category>
        <w:types>
          <w:type w:val="bbPlcHdr"/>
        </w:types>
        <w:behaviors>
          <w:behavior w:val="content"/>
        </w:behaviors>
        <w:description w:val=""/>
        <w:guid w:val="{4d960ec4-52e4-4623-875f-aeadc111c839}"/>
      </w:docPartPr>
      <w:docPartBody>
        <w:p>
          <w:r>
            <w:rPr>
              <w:color w:val="808080"/>
            </w:rPr>
            <w:t>单击此处输入文字。</w:t>
          </w:r>
        </w:p>
      </w:docPartBody>
    </w:docPart>
    <w:docPart>
      <w:docPartPr>
        <w:name w:val="{4fc4af67-4b86-4aac-a4de-a8553baeefe5}"/>
        <w:style w:val=""/>
        <w:category>
          <w:name w:val="常规"/>
          <w:gallery w:val="placeholder"/>
        </w:category>
        <w:types>
          <w:type w:val="bbPlcHdr"/>
        </w:types>
        <w:behaviors>
          <w:behavior w:val="content"/>
        </w:behaviors>
        <w:description w:val=""/>
        <w:guid w:val="{4fc4af67-4b86-4aac-a4de-a8553baeefe5}"/>
      </w:docPartPr>
      <w:docPartBody>
        <w:p>
          <w:r>
            <w:rPr>
              <w:color w:val="808080"/>
            </w:rPr>
            <w:t>单击此处输入文字。</w:t>
          </w:r>
        </w:p>
      </w:docPartBody>
    </w:docPart>
    <w:docPart>
      <w:docPartPr>
        <w:name w:val="{5f99eece-f263-40d0-ad21-343ed23cb988}"/>
        <w:style w:val=""/>
        <w:category>
          <w:name w:val="常规"/>
          <w:gallery w:val="placeholder"/>
        </w:category>
        <w:types>
          <w:type w:val="bbPlcHdr"/>
        </w:types>
        <w:behaviors>
          <w:behavior w:val="content"/>
        </w:behaviors>
        <w:description w:val=""/>
        <w:guid w:val="{5f99eece-f263-40d0-ad21-343ed23cb988}"/>
      </w:docPartPr>
      <w:docPartBody>
        <w:p>
          <w:r>
            <w:rPr>
              <w:color w:val="808080"/>
            </w:rPr>
            <w:t>单击此处输入文字。</w:t>
          </w:r>
        </w:p>
      </w:docPartBody>
    </w:docPart>
    <w:docPart>
      <w:docPartPr>
        <w:name w:val="{1bef51f5-7faa-4af1-84ec-5e886326c95a}"/>
        <w:style w:val=""/>
        <w:category>
          <w:name w:val="常规"/>
          <w:gallery w:val="placeholder"/>
        </w:category>
        <w:types>
          <w:type w:val="bbPlcHdr"/>
        </w:types>
        <w:behaviors>
          <w:behavior w:val="content"/>
        </w:behaviors>
        <w:description w:val=""/>
        <w:guid w:val="{1bef51f5-7faa-4af1-84ec-5e886326c95a}"/>
      </w:docPartPr>
      <w:docPartBody>
        <w:p>
          <w:r>
            <w:rPr>
              <w:color w:val="808080"/>
            </w:rPr>
            <w:t>单击此处输入文字。</w:t>
          </w:r>
        </w:p>
      </w:docPartBody>
    </w:docPart>
    <w:docPart>
      <w:docPartPr>
        <w:name w:val="{405e8b1c-0186-4e2f-902d-e7d7807a1f00}"/>
        <w:style w:val=""/>
        <w:category>
          <w:name w:val="常规"/>
          <w:gallery w:val="placeholder"/>
        </w:category>
        <w:types>
          <w:type w:val="bbPlcHdr"/>
        </w:types>
        <w:behaviors>
          <w:behavior w:val="content"/>
        </w:behaviors>
        <w:description w:val=""/>
        <w:guid w:val="{405e8b1c-0186-4e2f-902d-e7d7807a1f00}"/>
      </w:docPartPr>
      <w:docPartBody>
        <w:p>
          <w:r>
            <w:rPr>
              <w:color w:val="808080"/>
            </w:rPr>
            <w:t>单击此处输入文字。</w:t>
          </w:r>
        </w:p>
      </w:docPartBody>
    </w:docPart>
    <w:docPart>
      <w:docPartPr>
        <w:name w:val="{a4ce646c-d739-4eda-ab18-661174114614}"/>
        <w:style w:val=""/>
        <w:category>
          <w:name w:val="常规"/>
          <w:gallery w:val="placeholder"/>
        </w:category>
        <w:types>
          <w:type w:val="bbPlcHdr"/>
        </w:types>
        <w:behaviors>
          <w:behavior w:val="content"/>
        </w:behaviors>
        <w:description w:val=""/>
        <w:guid w:val="{a4ce646c-d739-4eda-ab18-661174114614}"/>
      </w:docPartPr>
      <w:docPartBody>
        <w:p>
          <w:r>
            <w:rPr>
              <w:color w:val="808080"/>
            </w:rPr>
            <w:t>单击此处输入文字。</w:t>
          </w:r>
        </w:p>
      </w:docPartBody>
    </w:docPart>
    <w:docPart>
      <w:docPartPr>
        <w:name w:val="{6c71c743-1903-4c01-ac75-0495d3589e7d}"/>
        <w:style w:val=""/>
        <w:category>
          <w:name w:val="常规"/>
          <w:gallery w:val="placeholder"/>
        </w:category>
        <w:types>
          <w:type w:val="bbPlcHdr"/>
        </w:types>
        <w:behaviors>
          <w:behavior w:val="content"/>
        </w:behaviors>
        <w:description w:val=""/>
        <w:guid w:val="{6c71c743-1903-4c01-ac75-0495d3589e7d}"/>
      </w:docPartPr>
      <w:docPartBody>
        <w:p>
          <w:r>
            <w:rPr>
              <w:color w:val="808080"/>
            </w:rPr>
            <w:t>单击此处输入文字。</w:t>
          </w:r>
        </w:p>
      </w:docPartBody>
    </w:docPart>
    <w:docPart>
      <w:docPartPr>
        <w:name w:val="{0e9bf80a-885a-4b2d-9610-a35a98a6a5da}"/>
        <w:style w:val=""/>
        <w:category>
          <w:name w:val="常规"/>
          <w:gallery w:val="placeholder"/>
        </w:category>
        <w:types>
          <w:type w:val="bbPlcHdr"/>
        </w:types>
        <w:behaviors>
          <w:behavior w:val="content"/>
        </w:behaviors>
        <w:description w:val=""/>
        <w:guid w:val="{0e9bf80a-885a-4b2d-9610-a35a98a6a5da}"/>
      </w:docPartPr>
      <w:docPartBody>
        <w:p>
          <w:r>
            <w:rPr>
              <w:color w:val="808080"/>
            </w:rPr>
            <w:t>单击此处输入文字。</w:t>
          </w:r>
        </w:p>
      </w:docPartBody>
    </w:docPart>
    <w:docPart>
      <w:docPartPr>
        <w:name w:val="{ff261ce4-14b9-49bb-9a91-4d9b5857c83d}"/>
        <w:style w:val=""/>
        <w:category>
          <w:name w:val="常规"/>
          <w:gallery w:val="placeholder"/>
        </w:category>
        <w:types>
          <w:type w:val="bbPlcHdr"/>
        </w:types>
        <w:behaviors>
          <w:behavior w:val="content"/>
        </w:behaviors>
        <w:description w:val=""/>
        <w:guid w:val="{ff261ce4-14b9-49bb-9a91-4d9b5857c83d}"/>
      </w:docPartPr>
      <w:docPartBody>
        <w:p>
          <w:r>
            <w:rPr>
              <w:color w:val="808080"/>
            </w:rPr>
            <w:t>单击此处输入文字。</w:t>
          </w:r>
        </w:p>
      </w:docPartBody>
    </w:docPart>
    <w:docPart>
      <w:docPartPr>
        <w:name w:val="{7350b8f3-fe2f-40c8-9e74-4ea87bdec042}"/>
        <w:style w:val=""/>
        <w:category>
          <w:name w:val="常规"/>
          <w:gallery w:val="placeholder"/>
        </w:category>
        <w:types>
          <w:type w:val="bbPlcHdr"/>
        </w:types>
        <w:behaviors>
          <w:behavior w:val="content"/>
        </w:behaviors>
        <w:description w:val=""/>
        <w:guid w:val="{7350b8f3-fe2f-40c8-9e74-4ea87bdec042}"/>
      </w:docPartPr>
      <w:docPartBody>
        <w:p>
          <w:r>
            <w:rPr>
              <w:color w:val="808080"/>
            </w:rPr>
            <w:t>单击此处输入文字。</w:t>
          </w:r>
        </w:p>
      </w:docPartBody>
    </w:docPart>
    <w:docPart>
      <w:docPartPr>
        <w:name w:val="{d62afc88-af90-4e86-a760-6cb28a4f0f63}"/>
        <w:style w:val=""/>
        <w:category>
          <w:name w:val="常规"/>
          <w:gallery w:val="placeholder"/>
        </w:category>
        <w:types>
          <w:type w:val="bbPlcHdr"/>
        </w:types>
        <w:behaviors>
          <w:behavior w:val="content"/>
        </w:behaviors>
        <w:description w:val=""/>
        <w:guid w:val="{d62afc88-af90-4e86-a760-6cb28a4f0f63}"/>
      </w:docPartPr>
      <w:docPartBody>
        <w:p>
          <w:r>
            <w:rPr>
              <w:color w:val="808080"/>
            </w:rPr>
            <w:t>单击此处输入文字。</w:t>
          </w:r>
        </w:p>
      </w:docPartBody>
    </w:docPart>
    <w:docPart>
      <w:docPartPr>
        <w:name w:val="{f7b43cad-9285-4d66-ac28-353b1027d91b}"/>
        <w:style w:val=""/>
        <w:category>
          <w:name w:val="常规"/>
          <w:gallery w:val="placeholder"/>
        </w:category>
        <w:types>
          <w:type w:val="bbPlcHdr"/>
        </w:types>
        <w:behaviors>
          <w:behavior w:val="content"/>
        </w:behaviors>
        <w:description w:val=""/>
        <w:guid w:val="{f7b43cad-9285-4d66-ac28-353b1027d91b}"/>
      </w:docPartPr>
      <w:docPartBody>
        <w:p>
          <w:r>
            <w:rPr>
              <w:color w:val="808080"/>
            </w:rPr>
            <w:t>单击此处输入文字。</w:t>
          </w:r>
        </w:p>
      </w:docPartBody>
    </w:docPart>
    <w:docPart>
      <w:docPartPr>
        <w:name w:val="{3b129efe-4088-4769-a4c3-afcd8ff576c6}"/>
        <w:style w:val=""/>
        <w:category>
          <w:name w:val="常规"/>
          <w:gallery w:val="placeholder"/>
        </w:category>
        <w:types>
          <w:type w:val="bbPlcHdr"/>
        </w:types>
        <w:behaviors>
          <w:behavior w:val="content"/>
        </w:behaviors>
        <w:description w:val=""/>
        <w:guid w:val="{3b129efe-4088-4769-a4c3-afcd8ff576c6}"/>
      </w:docPartPr>
      <w:docPartBody>
        <w:p>
          <w:r>
            <w:rPr>
              <w:color w:val="808080"/>
            </w:rPr>
            <w:t>单击此处输入文字。</w:t>
          </w:r>
        </w:p>
      </w:docPartBody>
    </w:docPart>
    <w:docPart>
      <w:docPartPr>
        <w:name w:val="{d4f27f11-0238-4ddc-9e79-2420400d66dc}"/>
        <w:style w:val=""/>
        <w:category>
          <w:name w:val="常规"/>
          <w:gallery w:val="placeholder"/>
        </w:category>
        <w:types>
          <w:type w:val="bbPlcHdr"/>
        </w:types>
        <w:behaviors>
          <w:behavior w:val="content"/>
        </w:behaviors>
        <w:description w:val=""/>
        <w:guid w:val="{d4f27f11-0238-4ddc-9e79-2420400d66dc}"/>
      </w:docPartPr>
      <w:docPartBody>
        <w:p>
          <w:r>
            <w:rPr>
              <w:color w:val="808080"/>
            </w:rPr>
            <w:t>单击此处输入文字。</w:t>
          </w:r>
        </w:p>
      </w:docPartBody>
    </w:docPart>
    <w:docPart>
      <w:docPartPr>
        <w:name w:val="{e6b5061f-50d6-45f6-adf5-b535f5e48dc7}"/>
        <w:style w:val=""/>
        <w:category>
          <w:name w:val="常规"/>
          <w:gallery w:val="placeholder"/>
        </w:category>
        <w:types>
          <w:type w:val="bbPlcHdr"/>
        </w:types>
        <w:behaviors>
          <w:behavior w:val="content"/>
        </w:behaviors>
        <w:description w:val=""/>
        <w:guid w:val="{e6b5061f-50d6-45f6-adf5-b535f5e48dc7}"/>
      </w:docPartPr>
      <w:docPartBody>
        <w:p>
          <w:r>
            <w:rPr>
              <w:color w:val="808080"/>
            </w:rPr>
            <w:t>单击此处输入文字。</w:t>
          </w:r>
        </w:p>
      </w:docPartBody>
    </w:docPart>
    <w:docPart>
      <w:docPartPr>
        <w:name w:val="{d9907ab2-77c8-45c5-9456-c0c9b159663c}"/>
        <w:style w:val=""/>
        <w:category>
          <w:name w:val="常规"/>
          <w:gallery w:val="placeholder"/>
        </w:category>
        <w:types>
          <w:type w:val="bbPlcHdr"/>
        </w:types>
        <w:behaviors>
          <w:behavior w:val="content"/>
        </w:behaviors>
        <w:description w:val=""/>
        <w:guid w:val="{d9907ab2-77c8-45c5-9456-c0c9b159663c}"/>
      </w:docPartPr>
      <w:docPartBody>
        <w:p>
          <w:r>
            <w:rPr>
              <w:color w:val="808080"/>
            </w:rPr>
            <w:t>单击此处输入文字。</w:t>
          </w:r>
        </w:p>
      </w:docPartBody>
    </w:docPart>
    <w:docPart>
      <w:docPartPr>
        <w:name w:val="{2894c1f3-3ac8-4820-995b-09071691b0c3}"/>
        <w:style w:val=""/>
        <w:category>
          <w:name w:val="常规"/>
          <w:gallery w:val="placeholder"/>
        </w:category>
        <w:types>
          <w:type w:val="bbPlcHdr"/>
        </w:types>
        <w:behaviors>
          <w:behavior w:val="content"/>
        </w:behaviors>
        <w:description w:val=""/>
        <w:guid w:val="{2894c1f3-3ac8-4820-995b-09071691b0c3}"/>
      </w:docPartPr>
      <w:docPartBody>
        <w:p>
          <w:r>
            <w:rPr>
              <w:color w:val="808080"/>
            </w:rPr>
            <w:t>单击此处输入文字。</w:t>
          </w:r>
        </w:p>
      </w:docPartBody>
    </w:docPart>
    <w:docPart>
      <w:docPartPr>
        <w:name w:val="{c2ac8874-df3f-44c6-b60e-fc4e6e893d5f}"/>
        <w:style w:val=""/>
        <w:category>
          <w:name w:val="常规"/>
          <w:gallery w:val="placeholder"/>
        </w:category>
        <w:types>
          <w:type w:val="bbPlcHdr"/>
        </w:types>
        <w:behaviors>
          <w:behavior w:val="content"/>
        </w:behaviors>
        <w:description w:val=""/>
        <w:guid w:val="{c2ac8874-df3f-44c6-b60e-fc4e6e893d5f}"/>
      </w:docPartPr>
      <w:docPartBody>
        <w:p>
          <w:r>
            <w:rPr>
              <w:color w:val="808080"/>
            </w:rPr>
            <w:t>单击此处输入文字。</w:t>
          </w:r>
        </w:p>
      </w:docPartBody>
    </w:docPart>
    <w:docPart>
      <w:docPartPr>
        <w:name w:val="{a525744b-26fd-404f-876d-3e29bacc2126}"/>
        <w:style w:val=""/>
        <w:category>
          <w:name w:val="常规"/>
          <w:gallery w:val="placeholder"/>
        </w:category>
        <w:types>
          <w:type w:val="bbPlcHdr"/>
        </w:types>
        <w:behaviors>
          <w:behavior w:val="content"/>
        </w:behaviors>
        <w:description w:val=""/>
        <w:guid w:val="{a525744b-26fd-404f-876d-3e29bacc2126}"/>
      </w:docPartPr>
      <w:docPartBody>
        <w:p>
          <w:r>
            <w:rPr>
              <w:color w:val="808080"/>
            </w:rPr>
            <w:t>单击此处输入文字。</w:t>
          </w:r>
        </w:p>
      </w:docPartBody>
    </w:docPart>
    <w:docPart>
      <w:docPartPr>
        <w:name w:val="{1cd92069-481a-42e4-989e-8a62bb053a06}"/>
        <w:style w:val=""/>
        <w:category>
          <w:name w:val="常规"/>
          <w:gallery w:val="placeholder"/>
        </w:category>
        <w:types>
          <w:type w:val="bbPlcHdr"/>
        </w:types>
        <w:behaviors>
          <w:behavior w:val="content"/>
        </w:behaviors>
        <w:description w:val=""/>
        <w:guid w:val="{1cd92069-481a-42e4-989e-8a62bb053a06}"/>
      </w:docPartPr>
      <w:docPartBody>
        <w:p>
          <w:r>
            <w:rPr>
              <w:color w:val="808080"/>
            </w:rPr>
            <w:t>单击此处输入文字。</w:t>
          </w:r>
        </w:p>
      </w:docPartBody>
    </w:docPart>
    <w:docPart>
      <w:docPartPr>
        <w:name w:val="{3c39d063-d8fa-4428-8d92-d6e9586906c4}"/>
        <w:style w:val=""/>
        <w:category>
          <w:name w:val="常规"/>
          <w:gallery w:val="placeholder"/>
        </w:category>
        <w:types>
          <w:type w:val="bbPlcHdr"/>
        </w:types>
        <w:behaviors>
          <w:behavior w:val="content"/>
        </w:behaviors>
        <w:description w:val=""/>
        <w:guid w:val="{3c39d063-d8fa-4428-8d92-d6e9586906c4}"/>
      </w:docPartPr>
      <w:docPartBody>
        <w:p>
          <w:r>
            <w:rPr>
              <w:color w:val="808080"/>
            </w:rPr>
            <w:t>单击此处输入文字。</w:t>
          </w:r>
        </w:p>
      </w:docPartBody>
    </w:docPart>
    <w:docPart>
      <w:docPartPr>
        <w:name w:val="{5b31b3a3-33b7-4fe4-99f6-10012118eefa}"/>
        <w:style w:val=""/>
        <w:category>
          <w:name w:val="常规"/>
          <w:gallery w:val="placeholder"/>
        </w:category>
        <w:types>
          <w:type w:val="bbPlcHdr"/>
        </w:types>
        <w:behaviors>
          <w:behavior w:val="content"/>
        </w:behaviors>
        <w:description w:val=""/>
        <w:guid w:val="{5b31b3a3-33b7-4fe4-99f6-10012118eefa}"/>
      </w:docPartPr>
      <w:docPartBody>
        <w:p>
          <w:r>
            <w:rPr>
              <w:color w:val="808080"/>
            </w:rPr>
            <w:t>单击此处输入文字。</w:t>
          </w:r>
        </w:p>
      </w:docPartBody>
    </w:docPart>
    <w:docPart>
      <w:docPartPr>
        <w:name w:val="{c1637666-6f32-4f43-8958-563db167090e}"/>
        <w:style w:val=""/>
        <w:category>
          <w:name w:val="常规"/>
          <w:gallery w:val="placeholder"/>
        </w:category>
        <w:types>
          <w:type w:val="bbPlcHdr"/>
        </w:types>
        <w:behaviors>
          <w:behavior w:val="content"/>
        </w:behaviors>
        <w:description w:val=""/>
        <w:guid w:val="{c1637666-6f32-4f43-8958-563db167090e}"/>
      </w:docPartPr>
      <w:docPartBody>
        <w:p>
          <w:r>
            <w:rPr>
              <w:color w:val="808080"/>
            </w:rPr>
            <w:t>单击此处输入文字。</w:t>
          </w:r>
        </w:p>
      </w:docPartBody>
    </w:docPart>
    <w:docPart>
      <w:docPartPr>
        <w:name w:val="{5459a8d7-5fa1-4545-b1c7-802de4b91ed4}"/>
        <w:style w:val=""/>
        <w:category>
          <w:name w:val="常规"/>
          <w:gallery w:val="placeholder"/>
        </w:category>
        <w:types>
          <w:type w:val="bbPlcHdr"/>
        </w:types>
        <w:behaviors>
          <w:behavior w:val="content"/>
        </w:behaviors>
        <w:description w:val=""/>
        <w:guid w:val="{5459a8d7-5fa1-4545-b1c7-802de4b91ed4}"/>
      </w:docPartPr>
      <w:docPartBody>
        <w:p>
          <w:r>
            <w:rPr>
              <w:color w:val="808080"/>
            </w:rPr>
            <w:t>单击此处输入文字。</w:t>
          </w:r>
        </w:p>
      </w:docPartBody>
    </w:docPart>
    <w:docPart>
      <w:docPartPr>
        <w:name w:val="{6c55387b-bd0c-4712-8649-999f28534318}"/>
        <w:style w:val=""/>
        <w:category>
          <w:name w:val="常规"/>
          <w:gallery w:val="placeholder"/>
        </w:category>
        <w:types>
          <w:type w:val="bbPlcHdr"/>
        </w:types>
        <w:behaviors>
          <w:behavior w:val="content"/>
        </w:behaviors>
        <w:description w:val=""/>
        <w:guid w:val="{6c55387b-bd0c-4712-8649-999f28534318}"/>
      </w:docPartPr>
      <w:docPartBody>
        <w:p>
          <w:r>
            <w:rPr>
              <w:color w:val="808080"/>
            </w:rPr>
            <w:t>单击此处输入文字。</w:t>
          </w:r>
        </w:p>
      </w:docPartBody>
    </w:docPart>
    <w:docPart>
      <w:docPartPr>
        <w:name w:val="{ba9ebf9d-30b3-43e5-a0ce-2f713414ba2d}"/>
        <w:style w:val=""/>
        <w:category>
          <w:name w:val="常规"/>
          <w:gallery w:val="placeholder"/>
        </w:category>
        <w:types>
          <w:type w:val="bbPlcHdr"/>
        </w:types>
        <w:behaviors>
          <w:behavior w:val="content"/>
        </w:behaviors>
        <w:description w:val=""/>
        <w:guid w:val="{ba9ebf9d-30b3-43e5-a0ce-2f713414ba2d}"/>
      </w:docPartPr>
      <w:docPartBody>
        <w:p>
          <w:r>
            <w:rPr>
              <w:color w:val="808080"/>
            </w:rPr>
            <w:t>单击此处输入文字。</w:t>
          </w:r>
        </w:p>
      </w:docPartBody>
    </w:docPart>
    <w:docPart>
      <w:docPartPr>
        <w:name w:val="{05cfe8b5-c302-4f58-94c4-504c90535a69}"/>
        <w:style w:val=""/>
        <w:category>
          <w:name w:val="常规"/>
          <w:gallery w:val="placeholder"/>
        </w:category>
        <w:types>
          <w:type w:val="bbPlcHdr"/>
        </w:types>
        <w:behaviors>
          <w:behavior w:val="content"/>
        </w:behaviors>
        <w:description w:val=""/>
        <w:guid w:val="{05cfe8b5-c302-4f58-94c4-504c90535a69}"/>
      </w:docPartPr>
      <w:docPartBody>
        <w:p>
          <w:r>
            <w:rPr>
              <w:color w:val="808080"/>
            </w:rPr>
            <w:t>单击此处输入文字。</w:t>
          </w:r>
        </w:p>
      </w:docPartBody>
    </w:docPart>
    <w:docPart>
      <w:docPartPr>
        <w:name w:val="{cdaba0f2-e34c-4c29-8f42-0b1e2883c9f3}"/>
        <w:style w:val=""/>
        <w:category>
          <w:name w:val="常规"/>
          <w:gallery w:val="placeholder"/>
        </w:category>
        <w:types>
          <w:type w:val="bbPlcHdr"/>
        </w:types>
        <w:behaviors>
          <w:behavior w:val="content"/>
        </w:behaviors>
        <w:description w:val=""/>
        <w:guid w:val="{cdaba0f2-e34c-4c29-8f42-0b1e2883c9f3}"/>
      </w:docPartPr>
      <w:docPartBody>
        <w:p>
          <w:r>
            <w:rPr>
              <w:color w:val="808080"/>
            </w:rPr>
            <w:t>单击此处输入文字。</w:t>
          </w:r>
        </w:p>
      </w:docPartBody>
    </w:docPart>
    <w:docPart>
      <w:docPartPr>
        <w:name w:val="{b689fec5-44d6-47bd-9275-a289c862cfdd}"/>
        <w:style w:val=""/>
        <w:category>
          <w:name w:val="常规"/>
          <w:gallery w:val="placeholder"/>
        </w:category>
        <w:types>
          <w:type w:val="bbPlcHdr"/>
        </w:types>
        <w:behaviors>
          <w:behavior w:val="content"/>
        </w:behaviors>
        <w:description w:val=""/>
        <w:guid w:val="{b689fec5-44d6-47bd-9275-a289c862cfdd}"/>
      </w:docPartPr>
      <w:docPartBody>
        <w:p>
          <w:r>
            <w:rPr>
              <w:color w:val="808080"/>
            </w:rPr>
            <w:t>单击此处输入文字。</w:t>
          </w:r>
        </w:p>
      </w:docPartBody>
    </w:docPart>
    <w:docPart>
      <w:docPartPr>
        <w:name w:val="{9d085a43-5da8-47ba-81d7-0f734e24ec89}"/>
        <w:style w:val=""/>
        <w:category>
          <w:name w:val="常规"/>
          <w:gallery w:val="placeholder"/>
        </w:category>
        <w:types>
          <w:type w:val="bbPlcHdr"/>
        </w:types>
        <w:behaviors>
          <w:behavior w:val="content"/>
        </w:behaviors>
        <w:description w:val=""/>
        <w:guid w:val="{9d085a43-5da8-47ba-81d7-0f734e24ec89}"/>
      </w:docPartPr>
      <w:docPartBody>
        <w:p>
          <w:r>
            <w:rPr>
              <w:color w:val="808080"/>
            </w:rPr>
            <w:t>单击此处输入文字。</w:t>
          </w:r>
        </w:p>
      </w:docPartBody>
    </w:docPart>
    <w:docPart>
      <w:docPartPr>
        <w:name w:val="{64fc2747-a592-450d-993d-782489162ae0}"/>
        <w:style w:val=""/>
        <w:category>
          <w:name w:val="常规"/>
          <w:gallery w:val="placeholder"/>
        </w:category>
        <w:types>
          <w:type w:val="bbPlcHdr"/>
        </w:types>
        <w:behaviors>
          <w:behavior w:val="content"/>
        </w:behaviors>
        <w:description w:val=""/>
        <w:guid w:val="{64fc2747-a592-450d-993d-782489162ae0}"/>
      </w:docPartPr>
      <w:docPartBody>
        <w:p>
          <w:r>
            <w:rPr>
              <w:color w:val="808080"/>
            </w:rPr>
            <w:t>单击此处输入文字。</w:t>
          </w:r>
        </w:p>
      </w:docPartBody>
    </w:docPart>
    <w:docPart>
      <w:docPartPr>
        <w:name w:val="{1ee5a495-050d-4bb8-9760-73f56228a7d3}"/>
        <w:style w:val=""/>
        <w:category>
          <w:name w:val="常规"/>
          <w:gallery w:val="placeholder"/>
        </w:category>
        <w:types>
          <w:type w:val="bbPlcHdr"/>
        </w:types>
        <w:behaviors>
          <w:behavior w:val="content"/>
        </w:behaviors>
        <w:description w:val=""/>
        <w:guid w:val="{1ee5a495-050d-4bb8-9760-73f56228a7d3}"/>
      </w:docPartPr>
      <w:docPartBody>
        <w:p>
          <w:r>
            <w:rPr>
              <w:color w:val="808080"/>
            </w:rPr>
            <w:t>单击此处输入文字。</w:t>
          </w:r>
        </w:p>
      </w:docPartBody>
    </w:docPart>
    <w:docPart>
      <w:docPartPr>
        <w:name w:val="{947e3090-4f83-4ad2-bbc3-cf5f488ca4e7}"/>
        <w:style w:val=""/>
        <w:category>
          <w:name w:val="常规"/>
          <w:gallery w:val="placeholder"/>
        </w:category>
        <w:types>
          <w:type w:val="bbPlcHdr"/>
        </w:types>
        <w:behaviors>
          <w:behavior w:val="content"/>
        </w:behaviors>
        <w:description w:val=""/>
        <w:guid w:val="{947e3090-4f83-4ad2-bbc3-cf5f488ca4e7}"/>
      </w:docPartPr>
      <w:docPartBody>
        <w:p>
          <w:r>
            <w:rPr>
              <w:color w:val="808080"/>
            </w:rPr>
            <w:t>单击此处输入文字。</w:t>
          </w:r>
        </w:p>
      </w:docPartBody>
    </w:docPart>
    <w:docPart>
      <w:docPartPr>
        <w:name w:val="{20ec4d5c-4a06-44b1-8240-5b87d49da71e}"/>
        <w:style w:val=""/>
        <w:category>
          <w:name w:val="常规"/>
          <w:gallery w:val="placeholder"/>
        </w:category>
        <w:types>
          <w:type w:val="bbPlcHdr"/>
        </w:types>
        <w:behaviors>
          <w:behavior w:val="content"/>
        </w:behaviors>
        <w:description w:val=""/>
        <w:guid w:val="{20ec4d5c-4a06-44b1-8240-5b87d49da71e}"/>
      </w:docPartPr>
      <w:docPartBody>
        <w:p>
          <w:r>
            <w:rPr>
              <w:color w:val="808080"/>
            </w:rPr>
            <w:t>单击此处输入文字。</w:t>
          </w:r>
        </w:p>
      </w:docPartBody>
    </w:docPart>
    <w:docPart>
      <w:docPartPr>
        <w:name w:val="{8245aeae-cacc-4ca6-97a1-5542ed91aed4}"/>
        <w:style w:val=""/>
        <w:category>
          <w:name w:val="常规"/>
          <w:gallery w:val="placeholder"/>
        </w:category>
        <w:types>
          <w:type w:val="bbPlcHdr"/>
        </w:types>
        <w:behaviors>
          <w:behavior w:val="content"/>
        </w:behaviors>
        <w:description w:val=""/>
        <w:guid w:val="{8245aeae-cacc-4ca6-97a1-5542ed91aed4}"/>
      </w:docPartPr>
      <w:docPartBody>
        <w:p>
          <w:r>
            <w:rPr>
              <w:color w:val="808080"/>
            </w:rPr>
            <w:t>单击此处输入文字。</w:t>
          </w:r>
        </w:p>
      </w:docPartBody>
    </w:docPart>
    <w:docPart>
      <w:docPartPr>
        <w:name w:val="{8857159c-6a11-4d5e-b706-b95231c2394a}"/>
        <w:style w:val=""/>
        <w:category>
          <w:name w:val="常规"/>
          <w:gallery w:val="placeholder"/>
        </w:category>
        <w:types>
          <w:type w:val="bbPlcHdr"/>
        </w:types>
        <w:behaviors>
          <w:behavior w:val="content"/>
        </w:behaviors>
        <w:description w:val=""/>
        <w:guid w:val="{8857159c-6a11-4d5e-b706-b95231c2394a}"/>
      </w:docPartPr>
      <w:docPartBody>
        <w:p>
          <w:r>
            <w:rPr>
              <w:color w:val="808080"/>
            </w:rPr>
            <w:t>单击此处输入文字。</w:t>
          </w:r>
        </w:p>
      </w:docPartBody>
    </w:docPart>
    <w:docPart>
      <w:docPartPr>
        <w:name w:val="{884a6189-69ea-4abb-9bd5-e250dda5fb54}"/>
        <w:style w:val=""/>
        <w:category>
          <w:name w:val="常规"/>
          <w:gallery w:val="placeholder"/>
        </w:category>
        <w:types>
          <w:type w:val="bbPlcHdr"/>
        </w:types>
        <w:behaviors>
          <w:behavior w:val="content"/>
        </w:behaviors>
        <w:description w:val=""/>
        <w:guid w:val="{884a6189-69ea-4abb-9bd5-e250dda5fb54}"/>
      </w:docPartPr>
      <w:docPartBody>
        <w:p>
          <w:r>
            <w:rPr>
              <w:color w:val="808080"/>
            </w:rPr>
            <w:t>单击此处输入文字。</w:t>
          </w:r>
        </w:p>
      </w:docPartBody>
    </w:docPart>
    <w:docPart>
      <w:docPartPr>
        <w:name w:val="{8ea3298c-195a-4cbf-bb75-24ba3121dbc7}"/>
        <w:style w:val=""/>
        <w:category>
          <w:name w:val="常规"/>
          <w:gallery w:val="placeholder"/>
        </w:category>
        <w:types>
          <w:type w:val="bbPlcHdr"/>
        </w:types>
        <w:behaviors>
          <w:behavior w:val="content"/>
        </w:behaviors>
        <w:description w:val=""/>
        <w:guid w:val="{8ea3298c-195a-4cbf-bb75-24ba3121dbc7}"/>
      </w:docPartPr>
      <w:docPartBody>
        <w:p>
          <w:r>
            <w:rPr>
              <w:color w:val="808080"/>
            </w:rPr>
            <w:t>单击此处输入文字。</w:t>
          </w:r>
        </w:p>
      </w:docPartBody>
    </w:docPart>
    <w:docPart>
      <w:docPartPr>
        <w:name w:val="{18aa3373-f94b-4218-9554-075b6a26a76c}"/>
        <w:style w:val=""/>
        <w:category>
          <w:name w:val="常规"/>
          <w:gallery w:val="placeholder"/>
        </w:category>
        <w:types>
          <w:type w:val="bbPlcHdr"/>
        </w:types>
        <w:behaviors>
          <w:behavior w:val="content"/>
        </w:behaviors>
        <w:description w:val=""/>
        <w:guid w:val="{18aa3373-f94b-4218-9554-075b6a26a76c}"/>
      </w:docPartPr>
      <w:docPartBody>
        <w:p>
          <w:r>
            <w:rPr>
              <w:color w:val="808080"/>
            </w:rPr>
            <w:t>单击此处输入文字。</w:t>
          </w:r>
        </w:p>
      </w:docPartBody>
    </w:docPart>
    <w:docPart>
      <w:docPartPr>
        <w:name w:val="{75aeec32-c8a9-42d2-b61d-2d664a7157f4}"/>
        <w:style w:val=""/>
        <w:category>
          <w:name w:val="常规"/>
          <w:gallery w:val="placeholder"/>
        </w:category>
        <w:types>
          <w:type w:val="bbPlcHdr"/>
        </w:types>
        <w:behaviors>
          <w:behavior w:val="content"/>
        </w:behaviors>
        <w:description w:val=""/>
        <w:guid w:val="{75aeec32-c8a9-42d2-b61d-2d664a7157f4}"/>
      </w:docPartPr>
      <w:docPartBody>
        <w:p>
          <w:r>
            <w:rPr>
              <w:color w:val="808080"/>
            </w:rPr>
            <w:t>单击此处输入文字。</w:t>
          </w:r>
        </w:p>
      </w:docPartBody>
    </w:docPart>
    <w:docPart>
      <w:docPartPr>
        <w:name w:val="{a8ff58da-42b6-4d05-be9f-117357be6e48}"/>
        <w:style w:val=""/>
        <w:category>
          <w:name w:val="常规"/>
          <w:gallery w:val="placeholder"/>
        </w:category>
        <w:types>
          <w:type w:val="bbPlcHdr"/>
        </w:types>
        <w:behaviors>
          <w:behavior w:val="content"/>
        </w:behaviors>
        <w:description w:val=""/>
        <w:guid w:val="{a8ff58da-42b6-4d05-be9f-117357be6e48}"/>
      </w:docPartPr>
      <w:docPartBody>
        <w:p>
          <w:r>
            <w:rPr>
              <w:color w:val="808080"/>
            </w:rPr>
            <w:t>单击此处输入文字。</w:t>
          </w:r>
        </w:p>
      </w:docPartBody>
    </w:docPart>
    <w:docPart>
      <w:docPartPr>
        <w:name w:val="{ed90c150-abe9-4537-af0d-89944a033783}"/>
        <w:style w:val=""/>
        <w:category>
          <w:name w:val="常规"/>
          <w:gallery w:val="placeholder"/>
        </w:category>
        <w:types>
          <w:type w:val="bbPlcHdr"/>
        </w:types>
        <w:behaviors>
          <w:behavior w:val="content"/>
        </w:behaviors>
        <w:description w:val=""/>
        <w:guid w:val="{ed90c150-abe9-4537-af0d-89944a033783}"/>
      </w:docPartPr>
      <w:docPartBody>
        <w:p>
          <w:r>
            <w:rPr>
              <w:color w:val="808080"/>
            </w:rPr>
            <w:t>单击此处输入文字。</w:t>
          </w:r>
        </w:p>
      </w:docPartBody>
    </w:docPart>
    <w:docPart>
      <w:docPartPr>
        <w:name w:val="{21b4e0f3-ceac-4dc6-8133-51849536cf01}"/>
        <w:style w:val=""/>
        <w:category>
          <w:name w:val="常规"/>
          <w:gallery w:val="placeholder"/>
        </w:category>
        <w:types>
          <w:type w:val="bbPlcHdr"/>
        </w:types>
        <w:behaviors>
          <w:behavior w:val="content"/>
        </w:behaviors>
        <w:description w:val=""/>
        <w:guid w:val="{21b4e0f3-ceac-4dc6-8133-51849536cf01}"/>
      </w:docPartPr>
      <w:docPartBody>
        <w:p>
          <w:r>
            <w:rPr>
              <w:color w:val="808080"/>
            </w:rPr>
            <w:t>单击此处输入文字。</w:t>
          </w:r>
        </w:p>
      </w:docPartBody>
    </w:docPart>
    <w:docPart>
      <w:docPartPr>
        <w:name w:val="{4638602c-7cda-46f9-9165-9668a7e241a5}"/>
        <w:style w:val=""/>
        <w:category>
          <w:name w:val="常规"/>
          <w:gallery w:val="placeholder"/>
        </w:category>
        <w:types>
          <w:type w:val="bbPlcHdr"/>
        </w:types>
        <w:behaviors>
          <w:behavior w:val="content"/>
        </w:behaviors>
        <w:description w:val=""/>
        <w:guid w:val="{4638602c-7cda-46f9-9165-9668a7e241a5}"/>
      </w:docPartPr>
      <w:docPartBody>
        <w:p>
          <w:r>
            <w:rPr>
              <w:color w:val="808080"/>
            </w:rPr>
            <w:t>单击此处输入文字。</w:t>
          </w:r>
        </w:p>
      </w:docPartBody>
    </w:docPart>
    <w:docPart>
      <w:docPartPr>
        <w:name w:val="{16c2da75-e1e2-4794-bb49-821f121cc4eb}"/>
        <w:style w:val=""/>
        <w:category>
          <w:name w:val="常规"/>
          <w:gallery w:val="placeholder"/>
        </w:category>
        <w:types>
          <w:type w:val="bbPlcHdr"/>
        </w:types>
        <w:behaviors>
          <w:behavior w:val="content"/>
        </w:behaviors>
        <w:description w:val=""/>
        <w:guid w:val="{16c2da75-e1e2-4794-bb49-821f121cc4eb}"/>
      </w:docPartPr>
      <w:docPartBody>
        <w:p>
          <w:r>
            <w:rPr>
              <w:color w:val="808080"/>
            </w:rPr>
            <w:t>单击此处输入文字。</w:t>
          </w:r>
        </w:p>
      </w:docPartBody>
    </w:docPart>
    <w:docPart>
      <w:docPartPr>
        <w:name w:val="{4d053c38-8641-498b-a654-2f17ae03b1cf}"/>
        <w:style w:val=""/>
        <w:category>
          <w:name w:val="常规"/>
          <w:gallery w:val="placeholder"/>
        </w:category>
        <w:types>
          <w:type w:val="bbPlcHdr"/>
        </w:types>
        <w:behaviors>
          <w:behavior w:val="content"/>
        </w:behaviors>
        <w:description w:val=""/>
        <w:guid w:val="{4d053c38-8641-498b-a654-2f17ae03b1cf}"/>
      </w:docPartPr>
      <w:docPartBody>
        <w:p>
          <w:r>
            <w:rPr>
              <w:color w:val="808080"/>
            </w:rPr>
            <w:t>单击此处输入文字。</w:t>
          </w:r>
        </w:p>
      </w:docPartBody>
    </w:docPart>
    <w:docPart>
      <w:docPartPr>
        <w:name w:val="{830a35e9-f418-48cb-8c3a-a63e19373621}"/>
        <w:style w:val=""/>
        <w:category>
          <w:name w:val="常规"/>
          <w:gallery w:val="placeholder"/>
        </w:category>
        <w:types>
          <w:type w:val="bbPlcHdr"/>
        </w:types>
        <w:behaviors>
          <w:behavior w:val="content"/>
        </w:behaviors>
        <w:description w:val=""/>
        <w:guid w:val="{830a35e9-f418-48cb-8c3a-a63e19373621}"/>
      </w:docPartPr>
      <w:docPartBody>
        <w:p>
          <w:r>
            <w:rPr>
              <w:color w:val="808080"/>
            </w:rPr>
            <w:t>单击此处输入文字。</w:t>
          </w:r>
        </w:p>
      </w:docPartBody>
    </w:docPart>
    <w:docPart>
      <w:docPartPr>
        <w:name w:val="{9041b079-8e0c-4025-9a8d-941f6bb604d6}"/>
        <w:style w:val=""/>
        <w:category>
          <w:name w:val="常规"/>
          <w:gallery w:val="placeholder"/>
        </w:category>
        <w:types>
          <w:type w:val="bbPlcHdr"/>
        </w:types>
        <w:behaviors>
          <w:behavior w:val="content"/>
        </w:behaviors>
        <w:description w:val=""/>
        <w:guid w:val="{9041b079-8e0c-4025-9a8d-941f6bb604d6}"/>
      </w:docPartPr>
      <w:docPartBody>
        <w:p>
          <w:r>
            <w:rPr>
              <w:color w:val="808080"/>
            </w:rPr>
            <w:t>单击此处输入文字。</w:t>
          </w:r>
        </w:p>
      </w:docPartBody>
    </w:docPart>
    <w:docPart>
      <w:docPartPr>
        <w:name w:val="{975095f4-2059-4fd3-b64b-cead7fb8d067}"/>
        <w:style w:val=""/>
        <w:category>
          <w:name w:val="常规"/>
          <w:gallery w:val="placeholder"/>
        </w:category>
        <w:types>
          <w:type w:val="bbPlcHdr"/>
        </w:types>
        <w:behaviors>
          <w:behavior w:val="content"/>
        </w:behaviors>
        <w:description w:val=""/>
        <w:guid w:val="{975095f4-2059-4fd3-b64b-cead7fb8d067}"/>
      </w:docPartPr>
      <w:docPartBody>
        <w:p>
          <w:r>
            <w:rPr>
              <w:color w:val="808080"/>
            </w:rPr>
            <w:t>单击此处输入文字。</w:t>
          </w:r>
        </w:p>
      </w:docPartBody>
    </w:docPart>
    <w:docPart>
      <w:docPartPr>
        <w:name w:val="{8d45492b-ff07-4b13-a904-04bd3d0b873a}"/>
        <w:style w:val=""/>
        <w:category>
          <w:name w:val="常规"/>
          <w:gallery w:val="placeholder"/>
        </w:category>
        <w:types>
          <w:type w:val="bbPlcHdr"/>
        </w:types>
        <w:behaviors>
          <w:behavior w:val="content"/>
        </w:behaviors>
        <w:description w:val=""/>
        <w:guid w:val="{8d45492b-ff07-4b13-a904-04bd3d0b873a}"/>
      </w:docPartPr>
      <w:docPartBody>
        <w:p>
          <w:r>
            <w:rPr>
              <w:color w:val="808080"/>
            </w:rPr>
            <w:t>单击此处输入文字。</w:t>
          </w:r>
        </w:p>
      </w:docPartBody>
    </w:docPart>
    <w:docPart>
      <w:docPartPr>
        <w:name w:val="{c933f780-699a-4987-a0a2-0344d1b52fbd}"/>
        <w:style w:val=""/>
        <w:category>
          <w:name w:val="常规"/>
          <w:gallery w:val="placeholder"/>
        </w:category>
        <w:types>
          <w:type w:val="bbPlcHdr"/>
        </w:types>
        <w:behaviors>
          <w:behavior w:val="content"/>
        </w:behaviors>
        <w:description w:val=""/>
        <w:guid w:val="{c933f780-699a-4987-a0a2-0344d1b52fbd}"/>
      </w:docPartPr>
      <w:docPartBody>
        <w:p>
          <w:r>
            <w:rPr>
              <w:color w:val="808080"/>
            </w:rPr>
            <w:t>单击此处输入文字。</w:t>
          </w:r>
        </w:p>
      </w:docPartBody>
    </w:docPart>
    <w:docPart>
      <w:docPartPr>
        <w:name w:val="{1444c662-ac7a-4046-aef7-719b34880a9e}"/>
        <w:style w:val=""/>
        <w:category>
          <w:name w:val="常规"/>
          <w:gallery w:val="placeholder"/>
        </w:category>
        <w:types>
          <w:type w:val="bbPlcHdr"/>
        </w:types>
        <w:behaviors>
          <w:behavior w:val="content"/>
        </w:behaviors>
        <w:description w:val=""/>
        <w:guid w:val="{1444c662-ac7a-4046-aef7-719b34880a9e}"/>
      </w:docPartPr>
      <w:docPartBody>
        <w:p>
          <w:r>
            <w:rPr>
              <w:color w:val="808080"/>
            </w:rPr>
            <w:t>单击此处输入文字。</w:t>
          </w:r>
        </w:p>
      </w:docPartBody>
    </w:docPart>
    <w:docPart>
      <w:docPartPr>
        <w:name w:val="{88580119-9777-4407-afe3-384bd7a77f2b}"/>
        <w:style w:val=""/>
        <w:category>
          <w:name w:val="常规"/>
          <w:gallery w:val="placeholder"/>
        </w:category>
        <w:types>
          <w:type w:val="bbPlcHdr"/>
        </w:types>
        <w:behaviors>
          <w:behavior w:val="content"/>
        </w:behaviors>
        <w:description w:val=""/>
        <w:guid w:val="{88580119-9777-4407-afe3-384bd7a77f2b}"/>
      </w:docPartPr>
      <w:docPartBody>
        <w:p>
          <w:r>
            <w:rPr>
              <w:color w:val="808080"/>
            </w:rPr>
            <w:t>单击此处输入文字。</w:t>
          </w:r>
        </w:p>
      </w:docPartBody>
    </w:docPart>
    <w:docPart>
      <w:docPartPr>
        <w:name w:val="{4bd4e440-6389-4e70-b3e3-f18dfffc3b04}"/>
        <w:style w:val=""/>
        <w:category>
          <w:name w:val="常规"/>
          <w:gallery w:val="placeholder"/>
        </w:category>
        <w:types>
          <w:type w:val="bbPlcHdr"/>
        </w:types>
        <w:behaviors>
          <w:behavior w:val="content"/>
        </w:behaviors>
        <w:description w:val=""/>
        <w:guid w:val="{4bd4e440-6389-4e70-b3e3-f18dfffc3b04}"/>
      </w:docPartPr>
      <w:docPartBody>
        <w:p>
          <w:r>
            <w:rPr>
              <w:color w:val="808080"/>
            </w:rPr>
            <w:t>单击此处输入文字。</w:t>
          </w:r>
        </w:p>
      </w:docPartBody>
    </w:docPart>
    <w:docPart>
      <w:docPartPr>
        <w:name w:val="{d5ee1538-2783-4362-89d1-b0e1f5186a04}"/>
        <w:style w:val=""/>
        <w:category>
          <w:name w:val="常规"/>
          <w:gallery w:val="placeholder"/>
        </w:category>
        <w:types>
          <w:type w:val="bbPlcHdr"/>
        </w:types>
        <w:behaviors>
          <w:behavior w:val="content"/>
        </w:behaviors>
        <w:description w:val=""/>
        <w:guid w:val="{d5ee1538-2783-4362-89d1-b0e1f5186a04}"/>
      </w:docPartPr>
      <w:docPartBody>
        <w:p>
          <w:r>
            <w:rPr>
              <w:color w:val="808080"/>
            </w:rPr>
            <w:t>单击此处输入文字。</w:t>
          </w:r>
        </w:p>
      </w:docPartBody>
    </w:docPart>
    <w:docPart>
      <w:docPartPr>
        <w:name w:val="{3a68fd64-ba83-4718-99b8-0654ade83e2b}"/>
        <w:style w:val=""/>
        <w:category>
          <w:name w:val="常规"/>
          <w:gallery w:val="placeholder"/>
        </w:category>
        <w:types>
          <w:type w:val="bbPlcHdr"/>
        </w:types>
        <w:behaviors>
          <w:behavior w:val="content"/>
        </w:behaviors>
        <w:description w:val=""/>
        <w:guid w:val="{3a68fd64-ba83-4718-99b8-0654ade83e2b}"/>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CB72B1-91DB-4556-B1D0-EF55F86676F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46</Pages>
  <Words>24116</Words>
  <Characters>24398</Characters>
  <Lines>164</Lines>
  <Paragraphs>46</Paragraphs>
  <TotalTime>494</TotalTime>
  <ScaleCrop>false</ScaleCrop>
  <LinksUpToDate>false</LinksUpToDate>
  <CharactersWithSpaces>24710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2016-12-06T09:59:00Z</dcterms:created>
  <dc:creator>付洪军</dc:creator>
  <cp:lastModifiedBy> Ｌｅｅ</cp:lastModifiedBy>
  <cp:lastPrinted>2023-03-21T01:35:00Z</cp:lastPrinted>
  <dcterms:modified xsi:type="dcterms:W3CDTF">2024-01-23T07:07:27Z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848E24601D8A45A3A4C941E465398FAD_13</vt:lpwstr>
  </property>
  <property fmtid="{D5CDD505-2E9C-101B-9397-08002B2CF9AE}" pid="4" name="KSOSaveFontToCloudKey">
    <vt:lpwstr>535473009_btnclosed</vt:lpwstr>
  </property>
</Properties>
</file>