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sz w:val="44"/>
          <w:szCs w:val="44"/>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阆中和美乡村旅游发展有限公司</w:t>
      </w: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安全生产培训方案</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一、培训目标与原则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安全生产教育培训，使全体员工深入了解国家安全生产法律法规，掌握基本的安全生产知识，熟悉本岗位的安全操作规程，具备应急救援和自救互救能力，确保在发生突发事件时能够迅速、有效地应对，保障员工生命安全和公司财产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培训遵循“全员参与、注重实效、防范未然”的原则，注重理论教学与实际操作相结合，以提高员工的安全意识和安全操作技能为重点。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二、培训内容与方法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1.安全生产法律法规:学习国家及地方政府发布的安全生产法律法规，明确企业安全生产责任与义务。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2.安全生产基本知识:了解常见危险源、安全隐患及预防措施，提高安全防范意识。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3.安全生产操作规程:针对不同岗位特点，学习相应的安全操作规程，规范作业行为。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4.应急救援与自救互救:学习应急救援预案，掌握现场急救技能，了解自救互救方法。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5.职业卫生与劳动防护:了解职业病防治知识，掌握劳动防护用品的正确使用方法。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培训方法采用集中授课、案例分析、实践操作等多种形式，注重启发式、互动式教学，激发员工的学习兴趣和主动性。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三、培训师资与设施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聘请具有丰富实践经验和教学能力的专职教师及行业专家担任培训讲师。配备完善的培训设施，包括教室、实践操作场地、模拟演练设备等，以满足不同培训内容的需要。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四、培训计划实施步骤</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1.制定详细的培训计划，明确培训目标、内容、方法、时间安排等。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2.确定培训师资和设施，协调好各项资源，确保培训顺利开展。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3.下发培训通知，组织员工参加培训，做好签到登记工作。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4.进行理论授课和实践操作训练，及时解答员工疑问，评估培训效果。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5.对培训过程中存在的问题及时进行调整和改进，优化培训方案。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6.培训结束后进行考核评估，将考核结果纳入员工绩效考核体系。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7.定期开展复训和巩固性培训，提高员工的安全意识和技能水平。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五、培训效果评估与反馈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通过以下方式对培训效果进行评估和反馈: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1.考试成绩分析:对参加培训的员工进行考核评估，了解员工掌握程度和薄弱环节。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2.满意度调查:通过问卷调查等形式了解员工对培训内容、师资、设施等方面的满意度和建议。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3.实际操作检查:对员工进行现场操作检查，评估员工在实际操作中运用所学知识和技能的情况。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4.事故率统计:通过统计公司内部事故发生率等数据，评估培训效果和员工安全音识的提升情况。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5.反馈意见处理:针对评估结果和反馈意见，及时调整培训方案和改进措施，不断提高培训效果和质量。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六、培训纪律与考核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1.所有参加培训的员工必须遵守培训纪律，不得迟到早退、旷课或扰乱课堂秩序。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2.严格遵守考核纪律，禁止作弊行为，确保考核结果的公正性和真实性。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3.根据考试成绩、满意度调查结果、实际操作检查和事故率统计等综合因素对参加培训的员工进行考核评估。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4.对于在培训和考核中表现优秀的员工给予表彰和奖励，对于表现不佳的员工进行督促和帮助。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5.将考核结果纳入员工绩效考核体系，作为员工晋升和奖励的重要参考依据。</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阆中和美乡村旅游发展有限公司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2024年1月8日</w:t>
      </w:r>
    </w:p>
    <w:sectPr>
      <w:footerReference r:id="rId3" w:type="default"/>
      <w:pgSz w:w="11906" w:h="16838"/>
      <w:pgMar w:top="2098" w:right="1559" w:bottom="175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-90170</wp:posOffset>
              </wp:positionV>
              <wp:extent cx="501015" cy="327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1015" cy="327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1pt;height:25.75pt;width:39.45pt;mso-position-horizontal:outside;mso-position-horizontal-relative:margin;z-index:251659264;mso-width-relative:page;mso-height-relative:page;" filled="f" stroked="f" coordsize="21600,21600" o:gfxdata="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MT9qjWAAAABgEAAA8AAAAAAAAAAQAgAAAAIgAAAGRycy9kb3ducmV2&#10;LnhtbFBLAQIUABQAAAAIAIdO4kCc7jpjNwIAAGEEAAAOAAAAAAAAAAEAIAAAACUBAABkcnMvZTJv&#10;RG9jLnhtbFBLBQYAAAAABgAGAFkBAADOBQAAAAA=&#10;">
              <v:fill on="f" focussize="0,0"/>
              <v:stroke on="f" weight="0.5pt"/>
              <v:imagedata o:title=""/>
              <o:lock v:ext="edit" aspectratio="f"/>
              <v:textbox inset="0mm,0mm,0mm,0mm">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YjNkZjI4MDgxZjA1Mjc0MWIyZjEyMzUxNjdlYzgifQ=="/>
  </w:docVars>
  <w:rsids>
    <w:rsidRoot w:val="00000000"/>
    <w:rsid w:val="02194B33"/>
    <w:rsid w:val="031C0AE5"/>
    <w:rsid w:val="23EA7073"/>
    <w:rsid w:val="3D8B48C4"/>
    <w:rsid w:val="4AD6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2024-01-08T03:09:00Z</dcterms:created>
  <dc:creator>罗琦</dc:creator>
  <cp:lastModifiedBy>墨晏柒</cp:lastModifiedBy>
  <cp:lastPrinted>2024-01-08T03:33:00Z</cp:lastPrinted>
  <dcterms:modified xsi:type="dcterms:W3CDTF">2024-01-08T09:52:24Z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8B0D127FD3064CBAA803FDBE6C21C868_13</vt:lpwstr>
  </property>
</Properties>
</file>