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E3B98">
      <w:pPr>
        <w:pStyle w:val="3"/>
        <w:widowControl/>
        <w:spacing w:before="100" w:beforeAutospacing="1" w:after="100" w:afterAutospacing="1" w:line="560" w:lineRule="exact"/>
        <w:jc w:val="center"/>
        <w:rPr>
          <w:rFonts w:hint="eastAsia" w:ascii="仿宋_GB2312" w:hAnsi="华文宋体" w:cs="宋体"/>
          <w:b/>
          <w:color w:val="000000"/>
          <w:kern w:val="0"/>
          <w:szCs w:val="28"/>
        </w:rPr>
      </w:pPr>
      <w:r>
        <w:rPr>
          <w:rFonts w:hint="eastAsia" w:ascii="仿宋_GB2312" w:hAnsi="华文宋体" w:cs="宋体"/>
          <w:b/>
          <w:color w:val="000000"/>
          <w:kern w:val="0"/>
          <w:szCs w:val="28"/>
        </w:rPr>
        <w:t>安全生产奖惩制度</w:t>
      </w:r>
    </w:p>
    <w:p w14:paraId="75F41CCC">
      <w:pPr>
        <w:pStyle w:val="3"/>
        <w:spacing w:line="560" w:lineRule="exact"/>
        <w:rPr>
          <w:rFonts w:hint="eastAsia" w:ascii="仿宋_GB2312"/>
          <w:b/>
          <w:szCs w:val="28"/>
        </w:rPr>
      </w:pPr>
      <w:r>
        <w:rPr>
          <w:rFonts w:hint="eastAsia" w:ascii="仿宋_GB2312"/>
          <w:b/>
          <w:szCs w:val="28"/>
        </w:rPr>
        <w:t>（暂行）</w:t>
      </w:r>
    </w:p>
    <w:p w14:paraId="296A3BFA">
      <w:pPr>
        <w:pStyle w:val="3"/>
        <w:spacing w:line="560" w:lineRule="exact"/>
        <w:rPr>
          <w:rFonts w:hint="eastAsia" w:ascii="仿宋_GB2312"/>
          <w:szCs w:val="28"/>
        </w:rPr>
      </w:pPr>
    </w:p>
    <w:p w14:paraId="2126BF30">
      <w:pPr>
        <w:pStyle w:val="3"/>
        <w:spacing w:line="560" w:lineRule="exact"/>
        <w:rPr>
          <w:rFonts w:hint="eastAsia" w:ascii="仿宋_GB2312"/>
          <w:szCs w:val="28"/>
        </w:rPr>
      </w:pPr>
      <w:r>
        <w:rPr>
          <w:rFonts w:hint="eastAsia" w:ascii="仿宋_GB2312"/>
          <w:szCs w:val="28"/>
        </w:rPr>
        <w:t>1.目标</w:t>
      </w:r>
    </w:p>
    <w:p w14:paraId="10255339">
      <w:pPr>
        <w:pStyle w:val="3"/>
        <w:spacing w:line="560" w:lineRule="exact"/>
        <w:rPr>
          <w:rFonts w:hint="eastAsia" w:ascii="仿宋_GB2312"/>
          <w:szCs w:val="28"/>
        </w:rPr>
      </w:pPr>
      <w:r>
        <w:rPr>
          <w:rFonts w:hint="eastAsia" w:ascii="仿宋_GB2312"/>
          <w:szCs w:val="28"/>
        </w:rPr>
        <w:t>为规范本公司的安全生产管理工作，防止和减少生产安全事故，保障经营工作正常进行，以及激励所属</w:t>
      </w:r>
      <w:r>
        <w:rPr>
          <w:rFonts w:hint="eastAsia" w:ascii="仿宋_GB2312" w:hAnsi="华文仿宋"/>
          <w:szCs w:val="28"/>
        </w:rPr>
        <w:t>各分公司</w:t>
      </w:r>
      <w:r>
        <w:rPr>
          <w:rFonts w:hint="eastAsia" w:ascii="仿宋_GB2312"/>
          <w:szCs w:val="28"/>
        </w:rPr>
        <w:t>及管理工程认真做好安全生产管理工作，完成各项安全管理指标，依据津泰控[2014]1号文件中《**泰达投资控股有限公司安全生产奖惩规定（2013修订版）》和泰达建设集团《安全生产奖惩规定》的相关指示精神，结合**物业公司工作实际，特制定本奖惩管理制度。</w:t>
      </w:r>
    </w:p>
    <w:p w14:paraId="248E1105">
      <w:pPr>
        <w:pStyle w:val="3"/>
        <w:spacing w:line="560" w:lineRule="exact"/>
        <w:rPr>
          <w:rFonts w:hint="eastAsia" w:ascii="仿宋_GB2312"/>
          <w:szCs w:val="28"/>
        </w:rPr>
      </w:pPr>
      <w:r>
        <w:rPr>
          <w:rFonts w:hint="eastAsia" w:ascii="仿宋_GB2312"/>
          <w:szCs w:val="28"/>
        </w:rPr>
        <w:t>2.适用范围</w:t>
      </w:r>
    </w:p>
    <w:p w14:paraId="794B78B2">
      <w:pPr>
        <w:pStyle w:val="3"/>
        <w:spacing w:line="560" w:lineRule="exact"/>
        <w:rPr>
          <w:rFonts w:hint="eastAsia" w:ascii="仿宋_GB2312"/>
          <w:szCs w:val="28"/>
        </w:rPr>
      </w:pPr>
      <w:r>
        <w:rPr>
          <w:rFonts w:hint="eastAsia" w:ascii="仿宋_GB2312"/>
          <w:szCs w:val="28"/>
        </w:rPr>
        <w:t>本制度适用于对公司内</w:t>
      </w:r>
      <w:r>
        <w:rPr>
          <w:rFonts w:hint="eastAsia" w:ascii="仿宋_GB2312" w:hAnsi="宋体"/>
          <w:szCs w:val="28"/>
        </w:rPr>
        <w:t>所有安全管理与活动进行考评，并以此为依据进行处理与处罚及奖励，包括对机构（包括职能部室、分公司、直属企业、管理工程、班组等）与个人的处理与处罚及奖励。</w:t>
      </w:r>
    </w:p>
    <w:p w14:paraId="6AEA06E8">
      <w:pPr>
        <w:pStyle w:val="3"/>
        <w:spacing w:line="560" w:lineRule="exact"/>
        <w:rPr>
          <w:rFonts w:hint="eastAsia" w:ascii="仿宋_GB2312"/>
          <w:szCs w:val="28"/>
        </w:rPr>
      </w:pPr>
      <w:r>
        <w:rPr>
          <w:rFonts w:hint="eastAsia" w:ascii="仿宋_GB2312"/>
          <w:szCs w:val="28"/>
        </w:rPr>
        <w:t>3.管理职责</w:t>
      </w:r>
    </w:p>
    <w:p w14:paraId="51D5BC8B">
      <w:pPr>
        <w:pStyle w:val="3"/>
        <w:spacing w:line="560" w:lineRule="exact"/>
        <w:rPr>
          <w:rFonts w:hint="eastAsia" w:ascii="仿宋_GB2312"/>
          <w:szCs w:val="28"/>
        </w:rPr>
      </w:pPr>
      <w:r>
        <w:rPr>
          <w:rFonts w:hint="eastAsia" w:ascii="仿宋_GB2312"/>
          <w:szCs w:val="28"/>
        </w:rPr>
        <w:t>3.1公司总经理：负责对职能部门以及工作人员、分公司以及工作人员、工程经理的处理与处罚</w:t>
      </w:r>
      <w:r>
        <w:rPr>
          <w:rFonts w:hint="eastAsia" w:ascii="仿宋_GB2312" w:hAnsi="宋体"/>
          <w:szCs w:val="28"/>
        </w:rPr>
        <w:t>及奖励</w:t>
      </w:r>
      <w:r>
        <w:rPr>
          <w:rFonts w:hint="eastAsia" w:ascii="仿宋_GB2312"/>
          <w:szCs w:val="28"/>
        </w:rPr>
        <w:t>提出决定性意见，审核考评过程与结果，审批和发布处理与处罚及奖励决定。</w:t>
      </w:r>
    </w:p>
    <w:p w14:paraId="67F44103">
      <w:pPr>
        <w:pStyle w:val="3"/>
        <w:spacing w:line="560" w:lineRule="exact"/>
        <w:rPr>
          <w:rFonts w:hint="eastAsia" w:ascii="仿宋_GB2312"/>
          <w:szCs w:val="28"/>
        </w:rPr>
      </w:pPr>
      <w:r>
        <w:rPr>
          <w:rFonts w:hint="eastAsia" w:ascii="仿宋_GB2312"/>
          <w:szCs w:val="28"/>
        </w:rPr>
        <w:t>3.2公司副总经理：负责对职能部门工作人员、分公司工作人员、工程经理等工作人员的处理与处罚</w:t>
      </w:r>
      <w:r>
        <w:rPr>
          <w:rFonts w:hint="eastAsia" w:ascii="仿宋_GB2312" w:hAnsi="宋体"/>
          <w:szCs w:val="28"/>
        </w:rPr>
        <w:t>及奖励</w:t>
      </w:r>
      <w:r>
        <w:rPr>
          <w:rFonts w:hint="eastAsia" w:ascii="仿宋_GB2312"/>
          <w:szCs w:val="28"/>
        </w:rPr>
        <w:t>提出原则性意见，审核考评过程与结果，审批和发布处理与处罚及奖励决定。</w:t>
      </w:r>
    </w:p>
    <w:p w14:paraId="5B4D540A">
      <w:pPr>
        <w:pStyle w:val="3"/>
        <w:spacing w:line="560" w:lineRule="exact"/>
        <w:rPr>
          <w:rFonts w:hint="eastAsia" w:ascii="仿宋_GB2312"/>
          <w:szCs w:val="28"/>
        </w:rPr>
      </w:pPr>
      <w:r>
        <w:rPr>
          <w:rFonts w:hint="eastAsia" w:ascii="仿宋_GB2312"/>
          <w:szCs w:val="28"/>
        </w:rPr>
        <w:t>3.3**部：负责具体实施对职能部门、分公司、管理工程以及各级工作人员的安全工作考评，对处理与处罚以及奖励提出建议，按领导意见拟定处理与处罚以及奖励决定，对整改情况进行复核。</w:t>
      </w:r>
    </w:p>
    <w:p w14:paraId="0E12B475">
      <w:pPr>
        <w:pStyle w:val="3"/>
        <w:spacing w:line="560" w:lineRule="exact"/>
        <w:rPr>
          <w:rFonts w:hint="eastAsia" w:ascii="仿宋_GB2312"/>
          <w:color w:val="FF0000"/>
          <w:szCs w:val="28"/>
        </w:rPr>
      </w:pPr>
      <w:r>
        <w:rPr>
          <w:rFonts w:hint="eastAsia" w:ascii="仿宋_GB2312"/>
          <w:szCs w:val="28"/>
        </w:rPr>
        <w:t>3.4*   *部：负责协助对公司本部、各分公司属管理工程以及工作人员实施安全工作考评，具体实施处理与处罚以及奖励决定，组织整改，并组织开展自查自纠工作；负责发布处理与处罚及奖励决定，具体落实处理与处罚以及奖励决定。</w:t>
      </w:r>
    </w:p>
    <w:p w14:paraId="4D4706FF">
      <w:pPr>
        <w:pStyle w:val="3"/>
        <w:spacing w:line="560" w:lineRule="exact"/>
        <w:rPr>
          <w:rFonts w:hint="eastAsia" w:ascii="仿宋_GB2312"/>
          <w:szCs w:val="28"/>
        </w:rPr>
      </w:pPr>
      <w:r>
        <w:rPr>
          <w:rFonts w:hint="eastAsia" w:ascii="仿宋_GB2312"/>
          <w:szCs w:val="28"/>
        </w:rPr>
        <w:t>3.5各分公司：负责协助对所属管理工程以及工作人员实施安全工作考评，具体实施处理与处罚以及奖励决定，组织整改，并组织开展自查自纠工作。</w:t>
      </w:r>
    </w:p>
    <w:p w14:paraId="77902D18">
      <w:pPr>
        <w:pStyle w:val="3"/>
        <w:spacing w:line="560" w:lineRule="exact"/>
        <w:rPr>
          <w:rFonts w:hint="eastAsia" w:ascii="仿宋_GB2312"/>
          <w:szCs w:val="28"/>
        </w:rPr>
      </w:pPr>
      <w:r>
        <w:rPr>
          <w:rFonts w:hint="eastAsia" w:ascii="仿宋_GB2312"/>
          <w:szCs w:val="28"/>
        </w:rPr>
        <w:t>3.5各管理工程：负责具体实施处理与处罚以及奖励决定，组织整改，并组织开展自查自纠工作。</w:t>
      </w:r>
    </w:p>
    <w:p w14:paraId="7E34D029">
      <w:pPr>
        <w:pStyle w:val="3"/>
        <w:spacing w:line="560" w:lineRule="exact"/>
        <w:rPr>
          <w:rFonts w:hint="eastAsia" w:ascii="仿宋_GB2312"/>
          <w:szCs w:val="28"/>
        </w:rPr>
      </w:pPr>
      <w:r>
        <w:rPr>
          <w:rFonts w:hint="eastAsia" w:ascii="仿宋_GB2312"/>
          <w:szCs w:val="28"/>
        </w:rPr>
        <w:t>4.具体规定</w:t>
      </w:r>
    </w:p>
    <w:p w14:paraId="74DE03D0">
      <w:pPr>
        <w:pStyle w:val="3"/>
        <w:spacing w:line="560" w:lineRule="exact"/>
        <w:rPr>
          <w:rFonts w:hint="eastAsia" w:ascii="仿宋_GB2312"/>
          <w:szCs w:val="28"/>
        </w:rPr>
      </w:pPr>
      <w:r>
        <w:rPr>
          <w:rFonts w:hint="eastAsia" w:ascii="仿宋_GB2312"/>
          <w:szCs w:val="28"/>
        </w:rPr>
        <w:t>4.1安全工作考评包括对日常安全管理工作的考评和对发生事故及紧急情况后的处理及善后过程的考评。</w:t>
      </w:r>
    </w:p>
    <w:p w14:paraId="1BA9D7F0">
      <w:pPr>
        <w:pStyle w:val="3"/>
        <w:spacing w:line="560" w:lineRule="exact"/>
        <w:rPr>
          <w:rFonts w:hint="eastAsia" w:ascii="仿宋_GB2312"/>
          <w:szCs w:val="28"/>
        </w:rPr>
      </w:pPr>
      <w:r>
        <w:rPr>
          <w:rFonts w:hint="eastAsia" w:ascii="仿宋_GB2312"/>
          <w:szCs w:val="28"/>
        </w:rPr>
        <w:t>4.2日常安全管理工作考评内容包括：</w:t>
      </w:r>
    </w:p>
    <w:p w14:paraId="6CA5B929">
      <w:pPr>
        <w:pStyle w:val="3"/>
        <w:spacing w:line="560" w:lineRule="exact"/>
        <w:rPr>
          <w:rFonts w:hint="eastAsia" w:ascii="仿宋_GB2312"/>
          <w:szCs w:val="28"/>
        </w:rPr>
      </w:pPr>
      <w:r>
        <w:rPr>
          <w:rFonts w:hint="eastAsia" w:ascii="仿宋_GB2312"/>
          <w:szCs w:val="28"/>
        </w:rPr>
        <w:t>4.2.1安全管理体系建立情况。</w:t>
      </w:r>
    </w:p>
    <w:p w14:paraId="4684ADA2">
      <w:pPr>
        <w:pStyle w:val="3"/>
        <w:spacing w:line="560" w:lineRule="exact"/>
        <w:rPr>
          <w:rFonts w:hint="eastAsia" w:ascii="仿宋_GB2312"/>
          <w:szCs w:val="28"/>
        </w:rPr>
      </w:pPr>
      <w:r>
        <w:rPr>
          <w:rFonts w:hint="eastAsia" w:ascii="仿宋_GB2312"/>
          <w:szCs w:val="28"/>
        </w:rPr>
        <w:t>各机构负责人为各机构安全管理第一责任人，全权负责本机构及所属管理工程的各项安全管理工作，对公司领导负责；各机构所属部门和管理工程负责人为部门和管理工程安全管理第一责任人，全权负责本部门和管理工程的各项安全管理工作，对各机构负责人负责。各机构需建立安全管理体系，设专（兼）职人员协助负责人做好各项安全管理工作，与公司安委会办公室建立直接联系；各管理工程同样要建立安全管理体系，设专（兼）职人员协助负责人做好各项安全管理工作，与各机构专（兼）职安全人员建立直接联系。</w:t>
      </w:r>
    </w:p>
    <w:p w14:paraId="1D6883BB">
      <w:pPr>
        <w:pStyle w:val="3"/>
        <w:spacing w:line="560" w:lineRule="exact"/>
        <w:rPr>
          <w:rFonts w:hint="eastAsia" w:ascii="仿宋_GB2312"/>
          <w:szCs w:val="28"/>
        </w:rPr>
      </w:pPr>
      <w:r>
        <w:rPr>
          <w:rFonts w:hint="eastAsia" w:ascii="仿宋_GB2312"/>
          <w:szCs w:val="28"/>
        </w:rPr>
        <w:t>4.2.2安全责任书签订情况。</w:t>
      </w:r>
    </w:p>
    <w:p w14:paraId="70DA8CEF">
      <w:pPr>
        <w:pStyle w:val="3"/>
        <w:spacing w:line="560" w:lineRule="exact"/>
        <w:rPr>
          <w:rFonts w:hint="eastAsia" w:ascii="仿宋_GB2312"/>
          <w:szCs w:val="28"/>
        </w:rPr>
      </w:pPr>
      <w:r>
        <w:rPr>
          <w:rFonts w:hint="eastAsia" w:ascii="仿宋_GB2312"/>
          <w:szCs w:val="28"/>
        </w:rPr>
        <w:t>A、各机构需与所属管理工程签订《安全责任书》，对所属员工需层层签订《安全责任书》，做到签订率100%；</w:t>
      </w:r>
    </w:p>
    <w:p w14:paraId="7C3EA73C">
      <w:pPr>
        <w:pStyle w:val="3"/>
        <w:spacing w:line="560" w:lineRule="exact"/>
        <w:rPr>
          <w:rFonts w:hint="eastAsia" w:ascii="仿宋_GB2312"/>
          <w:szCs w:val="28"/>
        </w:rPr>
      </w:pPr>
      <w:r>
        <w:rPr>
          <w:rFonts w:hint="eastAsia" w:ascii="仿宋_GB2312"/>
          <w:szCs w:val="28"/>
        </w:rPr>
        <w:t>B、对各相关方（外包单位）需签订《安全责任书》或《安全协议》，做到有合同必有《安全责任书》或《安全协议》，严格界定责任范围。</w:t>
      </w:r>
    </w:p>
    <w:p w14:paraId="4B4812D3">
      <w:pPr>
        <w:pStyle w:val="3"/>
        <w:spacing w:line="560" w:lineRule="exact"/>
        <w:rPr>
          <w:rFonts w:hint="eastAsia" w:ascii="仿宋_GB2312"/>
          <w:szCs w:val="28"/>
        </w:rPr>
      </w:pPr>
      <w:r>
        <w:rPr>
          <w:rFonts w:hint="eastAsia" w:ascii="仿宋_GB2312"/>
          <w:szCs w:val="28"/>
        </w:rPr>
        <w:t>4.2.3按工作区域、范围、时间段、岗位分解落实安全管理责任，确定责任人，并有准确记录。</w:t>
      </w:r>
    </w:p>
    <w:p w14:paraId="7DE2E53E">
      <w:pPr>
        <w:pStyle w:val="3"/>
        <w:spacing w:line="560" w:lineRule="exact"/>
        <w:rPr>
          <w:rFonts w:hint="eastAsia" w:ascii="仿宋_GB2312"/>
          <w:szCs w:val="28"/>
        </w:rPr>
      </w:pPr>
      <w:r>
        <w:rPr>
          <w:rFonts w:hint="eastAsia" w:ascii="仿宋_GB2312"/>
          <w:szCs w:val="28"/>
        </w:rPr>
        <w:t>4.2.4按要求每季度召开一次安全管理专题例会，作阶段性安全管理工作小结及部署下一阶段工作，并做好会议纪要。</w:t>
      </w:r>
    </w:p>
    <w:p w14:paraId="7ECB6D82">
      <w:pPr>
        <w:pStyle w:val="3"/>
        <w:spacing w:line="560" w:lineRule="exact"/>
        <w:rPr>
          <w:rFonts w:hint="eastAsia" w:ascii="仿宋_GB2312"/>
          <w:szCs w:val="28"/>
        </w:rPr>
      </w:pPr>
      <w:r>
        <w:rPr>
          <w:rFonts w:hint="eastAsia" w:ascii="仿宋_GB2312"/>
          <w:szCs w:val="28"/>
        </w:rPr>
        <w:t>4.2.5安全隐患排查处理情况。</w:t>
      </w:r>
    </w:p>
    <w:p w14:paraId="45008E44">
      <w:pPr>
        <w:pStyle w:val="3"/>
        <w:spacing w:line="560" w:lineRule="exact"/>
        <w:rPr>
          <w:rFonts w:hint="eastAsia" w:ascii="仿宋_GB2312"/>
          <w:szCs w:val="28"/>
        </w:rPr>
      </w:pPr>
      <w:r>
        <w:rPr>
          <w:rFonts w:hint="eastAsia" w:ascii="仿宋_GB2312" w:hAnsi="华文仿宋"/>
          <w:szCs w:val="28"/>
        </w:rPr>
        <w:t>各机构负责人需详实掌握所属管理工程的各类</w:t>
      </w:r>
      <w:r>
        <w:rPr>
          <w:rFonts w:hint="eastAsia" w:ascii="仿宋_GB2312"/>
          <w:szCs w:val="28"/>
        </w:rPr>
        <w:t>安全隐患，并安排相关人力物力开展全面隐患排查工作（每年不少于四次），对发现的隐患状况要有准确的文字记录，要明确区分属于我方物业管理范畴内的安全隐患和属于业主方及劳务服务分包方的安全隐患，属于我方的，要指定专人负责跟进整改，明确整改措施、责任人以及整改时间安排；属于业主方及分包方的，要以文字形式提示其予以整改，并留有明确痕迹备查；对目前尚不具备整改条件的，须强化备用措施和应急预案，以期降低危险系数和损害程度，确保无安全责任事故发生。</w:t>
      </w:r>
    </w:p>
    <w:p w14:paraId="33035373">
      <w:pPr>
        <w:pStyle w:val="3"/>
        <w:spacing w:line="560" w:lineRule="exact"/>
        <w:rPr>
          <w:rFonts w:hint="eastAsia" w:ascii="仿宋_GB2312" w:hAnsi="华文仿宋"/>
          <w:bCs/>
          <w:szCs w:val="28"/>
        </w:rPr>
      </w:pPr>
      <w:r>
        <w:rPr>
          <w:rFonts w:hint="eastAsia" w:ascii="仿宋_GB2312"/>
          <w:szCs w:val="28"/>
        </w:rPr>
        <w:t>4.2.6</w:t>
      </w:r>
      <w:r>
        <w:rPr>
          <w:rFonts w:hint="eastAsia" w:ascii="仿宋_GB2312" w:hAnsi="华文仿宋"/>
          <w:szCs w:val="28"/>
        </w:rPr>
        <w:t>各机构</w:t>
      </w:r>
      <w:r>
        <w:rPr>
          <w:rFonts w:hint="eastAsia" w:ascii="仿宋_GB2312"/>
          <w:kern w:val="0"/>
          <w:szCs w:val="28"/>
        </w:rPr>
        <w:t>须确保各项涉及安全事项的资金在年度预算中足额列支，投入及时、到位，严禁克扣、挪用。因特殊原因不能保障投入的，须报公司分管领导和</w:t>
      </w:r>
      <w:r>
        <w:rPr>
          <w:rFonts w:hint="eastAsia" w:ascii="仿宋_GB2312" w:hAnsi="华文仿宋"/>
          <w:bCs/>
          <w:szCs w:val="28"/>
        </w:rPr>
        <w:t>公司总经理批准。</w:t>
      </w:r>
    </w:p>
    <w:p w14:paraId="4E0541B7">
      <w:pPr>
        <w:pStyle w:val="3"/>
        <w:spacing w:line="560" w:lineRule="exact"/>
        <w:rPr>
          <w:rFonts w:hint="eastAsia" w:ascii="仿宋_GB2312"/>
          <w:szCs w:val="28"/>
        </w:rPr>
      </w:pPr>
      <w:r>
        <w:rPr>
          <w:rFonts w:hint="eastAsia" w:ascii="仿宋_GB2312"/>
          <w:szCs w:val="28"/>
        </w:rPr>
        <w:t>4.2.7严格执行有关安全管理的法律、法规、规范、标准等，严禁违章指挥、违规操作。</w:t>
      </w:r>
    </w:p>
    <w:p w14:paraId="4EFC67F9">
      <w:pPr>
        <w:pStyle w:val="3"/>
        <w:spacing w:line="560" w:lineRule="exact"/>
        <w:rPr>
          <w:rFonts w:hint="eastAsia" w:ascii="仿宋_GB2312"/>
          <w:szCs w:val="28"/>
        </w:rPr>
      </w:pPr>
      <w:r>
        <w:rPr>
          <w:rFonts w:hint="eastAsia" w:ascii="仿宋_GB2312"/>
          <w:szCs w:val="28"/>
        </w:rPr>
        <w:t>4.2.8公司布置的各项工作能够及时有效的落实，在规定时限完成并反馈，有详尽的痕迹管理。</w:t>
      </w:r>
    </w:p>
    <w:p w14:paraId="1CA122D3">
      <w:pPr>
        <w:pStyle w:val="3"/>
        <w:spacing w:line="560" w:lineRule="exact"/>
        <w:rPr>
          <w:rFonts w:hint="eastAsia" w:ascii="仿宋_GB2312"/>
          <w:szCs w:val="28"/>
        </w:rPr>
      </w:pPr>
      <w:r>
        <w:rPr>
          <w:rFonts w:hint="eastAsia" w:ascii="仿宋_GB2312"/>
          <w:szCs w:val="28"/>
        </w:rPr>
        <w:t>4.2.9按工作实际制定各项安全管理制度、预案、规定等相关支持文件，并严格落实，并按实际情况发展不断改进修订。</w:t>
      </w:r>
    </w:p>
    <w:p w14:paraId="4EB2FA1B">
      <w:pPr>
        <w:pStyle w:val="3"/>
        <w:spacing w:line="560" w:lineRule="exact"/>
        <w:rPr>
          <w:rFonts w:hint="eastAsia" w:ascii="仿宋_GB2312"/>
          <w:szCs w:val="28"/>
        </w:rPr>
      </w:pPr>
      <w:r>
        <w:rPr>
          <w:rFonts w:hint="eastAsia" w:ascii="仿宋_GB2312"/>
          <w:szCs w:val="28"/>
        </w:rPr>
        <w:t>4.2.10确定管理范围内安全工作重点部位，有重点管理的方案，并严格落实。</w:t>
      </w:r>
    </w:p>
    <w:p w14:paraId="6501C70A">
      <w:pPr>
        <w:pStyle w:val="3"/>
        <w:spacing w:line="560" w:lineRule="exact"/>
        <w:rPr>
          <w:rFonts w:hint="eastAsia" w:ascii="仿宋_GB2312"/>
          <w:szCs w:val="28"/>
        </w:rPr>
      </w:pPr>
      <w:r>
        <w:rPr>
          <w:rFonts w:hint="eastAsia" w:ascii="仿宋_GB2312"/>
          <w:szCs w:val="28"/>
        </w:rPr>
        <w:t>4.2.11设施设备配备齐全、防护有效、安全运行无隐患。特种设备有管理方案，按规定检测合格且时限有效。</w:t>
      </w:r>
    </w:p>
    <w:p w14:paraId="386A46B7">
      <w:pPr>
        <w:pStyle w:val="3"/>
        <w:spacing w:line="560" w:lineRule="exact"/>
        <w:rPr>
          <w:rFonts w:hint="eastAsia" w:ascii="仿宋_GB2312"/>
          <w:szCs w:val="28"/>
        </w:rPr>
      </w:pPr>
      <w:r>
        <w:rPr>
          <w:rFonts w:hint="eastAsia" w:ascii="仿宋_GB2312"/>
          <w:szCs w:val="28"/>
        </w:rPr>
        <w:t>4.2.12有特殊要求需持证上岗的工作人员（主要有电工、焊工、制冷工、锅炉工、高空作业、消控值班、电梯安全管理人员、食堂工作人员、二次供水人员等）需经培训合格拿到所需证件后上岗，持证率100%。</w:t>
      </w:r>
    </w:p>
    <w:p w14:paraId="066A07E7">
      <w:pPr>
        <w:pStyle w:val="3"/>
        <w:spacing w:line="560" w:lineRule="exact"/>
        <w:rPr>
          <w:rFonts w:hint="eastAsia" w:ascii="仿宋_GB2312"/>
          <w:szCs w:val="28"/>
        </w:rPr>
      </w:pPr>
      <w:r>
        <w:rPr>
          <w:rFonts w:hint="eastAsia" w:ascii="仿宋_GB2312"/>
          <w:szCs w:val="28"/>
        </w:rPr>
        <w:t>4.2.13对劳务外包、保洁外包、设备设施代维等协作机构应予以有效监管，敦促其加强安全工作，避免发生事故，</w:t>
      </w:r>
      <w:r>
        <w:rPr>
          <w:rFonts w:hint="eastAsia" w:ascii="仿宋_GB2312" w:hAnsi="华文仿宋"/>
          <w:szCs w:val="28"/>
        </w:rPr>
        <w:t>出现问题及时沟通解决，确保不发生事故及服务质量问题和劳务纠纷。</w:t>
      </w:r>
    </w:p>
    <w:p w14:paraId="5274F46B">
      <w:pPr>
        <w:pStyle w:val="3"/>
        <w:spacing w:line="560" w:lineRule="exact"/>
        <w:rPr>
          <w:rFonts w:hint="eastAsia" w:ascii="仿宋_GB2312"/>
          <w:szCs w:val="28"/>
        </w:rPr>
      </w:pPr>
      <w:r>
        <w:rPr>
          <w:rFonts w:hint="eastAsia" w:ascii="仿宋_GB2312"/>
          <w:szCs w:val="28"/>
        </w:rPr>
        <w:t>4.2.14保证每月对工程进行不少于两次的安全检查，并对检查结果进行分析，本着“四不放过”的原则（职工群众没受到教育不放过、事故原因不清不放过、隐患没有整改不放过、责任人没有受到处理不放过），消除安全隐患。</w:t>
      </w:r>
    </w:p>
    <w:p w14:paraId="55E0DB89">
      <w:pPr>
        <w:pStyle w:val="3"/>
        <w:spacing w:line="560" w:lineRule="exact"/>
        <w:rPr>
          <w:rFonts w:hint="eastAsia" w:ascii="仿宋_GB2312"/>
          <w:szCs w:val="28"/>
        </w:rPr>
      </w:pPr>
      <w:r>
        <w:rPr>
          <w:rFonts w:hint="eastAsia" w:ascii="仿宋_GB2312"/>
          <w:szCs w:val="28"/>
        </w:rPr>
        <w:t>4.2.15开展安全学习、技能考核、对业主的安全宣传和提示等安全活动工作，每个管理工程年组织一次安全消防活动或演练，并做好活动记录。</w:t>
      </w:r>
    </w:p>
    <w:p w14:paraId="5B6A20D2">
      <w:pPr>
        <w:pStyle w:val="3"/>
        <w:spacing w:line="560" w:lineRule="exact"/>
        <w:rPr>
          <w:rFonts w:hint="eastAsia" w:ascii="仿宋_GB2312"/>
          <w:szCs w:val="28"/>
        </w:rPr>
      </w:pPr>
      <w:r>
        <w:rPr>
          <w:rFonts w:hint="eastAsia" w:ascii="仿宋_GB2312"/>
          <w:szCs w:val="28"/>
        </w:rPr>
        <w:t>4.2.16加强对所属工程内的车辆管理，严格执行《车辆管理规定》，加强对驾驶员的教育和培训，切实提高安全行车的意识，确保无车辆交通责任事故的发生。</w:t>
      </w:r>
    </w:p>
    <w:p w14:paraId="287F2108">
      <w:pPr>
        <w:pStyle w:val="3"/>
        <w:spacing w:line="560" w:lineRule="exact"/>
        <w:rPr>
          <w:rFonts w:hint="eastAsia" w:ascii="仿宋_GB2312"/>
          <w:szCs w:val="28"/>
        </w:rPr>
      </w:pPr>
      <w:r>
        <w:rPr>
          <w:rFonts w:hint="eastAsia" w:ascii="仿宋_GB2312"/>
          <w:szCs w:val="28"/>
        </w:rPr>
        <w:t>4.2.17按工作性质发放劳动保护用品，需采购质量合乎标准的正规劳动保护用品，质检合格证和个人签领记录应留存备查。</w:t>
      </w:r>
    </w:p>
    <w:p w14:paraId="27B1368B">
      <w:pPr>
        <w:pStyle w:val="3"/>
        <w:spacing w:line="560" w:lineRule="exact"/>
        <w:rPr>
          <w:rFonts w:hint="eastAsia" w:ascii="仿宋_GB2312"/>
          <w:szCs w:val="28"/>
        </w:rPr>
      </w:pPr>
      <w:r>
        <w:rPr>
          <w:rFonts w:hint="eastAsia" w:ascii="仿宋_GB2312"/>
          <w:szCs w:val="28"/>
        </w:rPr>
        <w:t>4.2.18做好员工安全教育，定期对员工进行有关安全管理和消防工作常识方面的教育和考核，定期对员工进行岗位安全技能的考核，建立员工培训记录或档案，有详细的安全培训记录和考核记录。</w:t>
      </w:r>
    </w:p>
    <w:p w14:paraId="25FC9722">
      <w:pPr>
        <w:pStyle w:val="3"/>
        <w:spacing w:line="560" w:lineRule="exact"/>
        <w:rPr>
          <w:rFonts w:hint="eastAsia" w:ascii="仿宋_GB2312"/>
          <w:szCs w:val="28"/>
        </w:rPr>
      </w:pPr>
      <w:r>
        <w:rPr>
          <w:rFonts w:hint="eastAsia" w:ascii="仿宋_GB2312"/>
          <w:szCs w:val="28"/>
        </w:rPr>
        <w:t>4.2.19</w:t>
      </w:r>
      <w:r>
        <w:rPr>
          <w:rFonts w:hint="eastAsia" w:ascii="仿宋_GB2312" w:hAnsi="华文仿宋"/>
          <w:szCs w:val="28"/>
        </w:rPr>
        <w:t>各机构负责人需在规定时限内上报各类月度及专项安全报表，</w:t>
      </w:r>
      <w:r>
        <w:rPr>
          <w:rFonts w:hint="eastAsia" w:ascii="仿宋_GB2312"/>
          <w:szCs w:val="28"/>
        </w:rPr>
        <w:t>便于公司安委会动态掌握各机构的安全管理信息。</w:t>
      </w:r>
    </w:p>
    <w:p w14:paraId="257C3713">
      <w:pPr>
        <w:pStyle w:val="3"/>
        <w:spacing w:line="560" w:lineRule="exact"/>
        <w:rPr>
          <w:rFonts w:hint="eastAsia" w:ascii="仿宋_GB2312"/>
          <w:szCs w:val="28"/>
        </w:rPr>
      </w:pPr>
      <w:r>
        <w:rPr>
          <w:rFonts w:hint="eastAsia" w:ascii="仿宋_GB2312"/>
          <w:szCs w:val="28"/>
        </w:rPr>
        <w:t>4.2.20安全档案管理情况。按照公司统一要求（建孚 第2009［031］号文件</w:t>
      </w:r>
      <w:r>
        <w:rPr>
          <w:rFonts w:hint="eastAsia" w:ascii="仿宋_GB2312"/>
          <w:b/>
          <w:szCs w:val="28"/>
        </w:rPr>
        <w:t>——</w:t>
      </w:r>
      <w:r>
        <w:rPr>
          <w:rFonts w:hint="eastAsia" w:ascii="仿宋_GB2312"/>
          <w:szCs w:val="28"/>
        </w:rPr>
        <w:t>关于按照津泰控[2007]54号文件要求切实做好安全管理工作的通知）做好安全管理工作的痕迹及档案资料管理。</w:t>
      </w:r>
    </w:p>
    <w:p w14:paraId="2CABFDFF">
      <w:pPr>
        <w:pStyle w:val="3"/>
        <w:spacing w:line="560" w:lineRule="exact"/>
        <w:rPr>
          <w:rFonts w:hint="eastAsia" w:ascii="仿宋_GB2312"/>
          <w:szCs w:val="28"/>
        </w:rPr>
      </w:pPr>
      <w:r>
        <w:rPr>
          <w:rFonts w:hint="eastAsia" w:ascii="仿宋_GB2312" w:hAnsi="华文宋体" w:cs="宋体"/>
          <w:color w:val="000000"/>
          <w:kern w:val="0"/>
          <w:szCs w:val="28"/>
        </w:rPr>
        <w:t>4.3</w:t>
      </w:r>
      <w:r>
        <w:rPr>
          <w:rFonts w:hint="eastAsia" w:ascii="仿宋_GB2312"/>
          <w:szCs w:val="28"/>
        </w:rPr>
        <w:t>对发生事故及紧急情况后的处理及善后过程的考评内容包括：</w:t>
      </w:r>
    </w:p>
    <w:p w14:paraId="6833434C">
      <w:pPr>
        <w:pStyle w:val="5"/>
        <w:spacing w:line="560" w:lineRule="exact"/>
        <w:ind w:left="0" w:leftChars="0"/>
        <w:rPr>
          <w:rFonts w:hint="eastAsia" w:ascii="仿宋_GB2312" w:hAnsi="华文仿宋"/>
          <w:bCs/>
          <w:sz w:val="28"/>
          <w:szCs w:val="28"/>
        </w:rPr>
      </w:pPr>
      <w:r>
        <w:rPr>
          <w:rFonts w:hint="eastAsia" w:ascii="仿宋_GB2312" w:hAnsi="华文仿宋"/>
          <w:sz w:val="28"/>
          <w:szCs w:val="28"/>
        </w:rPr>
        <w:t>4.3.1</w:t>
      </w:r>
      <w:r>
        <w:rPr>
          <w:rFonts w:hint="eastAsia" w:ascii="仿宋_GB2312" w:hAnsi="华文仿宋"/>
          <w:bCs/>
          <w:sz w:val="28"/>
          <w:szCs w:val="28"/>
        </w:rPr>
        <w:t>管理工程出现</w:t>
      </w:r>
      <w:r>
        <w:rPr>
          <w:rFonts w:hint="eastAsia" w:ascii="仿宋_GB2312"/>
          <w:sz w:val="28"/>
          <w:szCs w:val="28"/>
        </w:rPr>
        <w:t>事故及</w:t>
      </w:r>
      <w:r>
        <w:rPr>
          <w:rFonts w:hint="eastAsia" w:ascii="仿宋_GB2312" w:hAnsi="华文仿宋"/>
          <w:bCs/>
          <w:sz w:val="28"/>
          <w:szCs w:val="28"/>
        </w:rPr>
        <w:t>紧急情况，</w:t>
      </w:r>
      <w:r>
        <w:rPr>
          <w:rFonts w:hint="eastAsia" w:ascii="仿宋_GB2312"/>
          <w:sz w:val="28"/>
          <w:szCs w:val="28"/>
        </w:rPr>
        <w:t>现场有关人员应当立即拨打119、110、120紧急求助并立即</w:t>
      </w:r>
      <w:r>
        <w:rPr>
          <w:rFonts w:hint="eastAsia" w:ascii="仿宋_GB2312" w:hAnsi="华文仿宋"/>
          <w:bCs/>
          <w:sz w:val="28"/>
          <w:szCs w:val="28"/>
        </w:rPr>
        <w:t>须在第一时间逐级上报，因故不能逐级上报的，须越级上报，公司总经理、董事长应在最长一小时内获知紧急情况发生，</w:t>
      </w:r>
      <w:r>
        <w:rPr>
          <w:rFonts w:hint="eastAsia" w:ascii="仿宋_GB2312"/>
          <w:sz w:val="28"/>
          <w:szCs w:val="28"/>
        </w:rPr>
        <w:t>报告应当及时、准确、完整，不得迟报、漏报、谎报或者瞒报。</w:t>
      </w:r>
    </w:p>
    <w:p w14:paraId="5883B75D">
      <w:pPr>
        <w:pStyle w:val="5"/>
        <w:spacing w:line="560" w:lineRule="exact"/>
        <w:ind w:left="0" w:leftChars="0"/>
        <w:rPr>
          <w:rFonts w:hint="eastAsia" w:ascii="仿宋_GB2312" w:hAnsi="华文仿宋"/>
          <w:sz w:val="28"/>
          <w:szCs w:val="28"/>
        </w:rPr>
      </w:pPr>
      <w:r>
        <w:rPr>
          <w:rFonts w:hint="eastAsia" w:ascii="仿宋_GB2312" w:hAnsi="华文仿宋"/>
          <w:sz w:val="28"/>
          <w:szCs w:val="28"/>
        </w:rPr>
        <w:t>4.3.2</w:t>
      </w:r>
      <w:r>
        <w:rPr>
          <w:rFonts w:hint="eastAsia" w:ascii="仿宋_GB2312"/>
          <w:sz w:val="28"/>
          <w:szCs w:val="28"/>
        </w:rPr>
        <w:t>事故及紧急情况发生后，</w:t>
      </w:r>
      <w:r>
        <w:rPr>
          <w:rFonts w:hint="eastAsia" w:ascii="仿宋_GB2312" w:hAnsi="华文仿宋"/>
          <w:bCs/>
          <w:sz w:val="28"/>
          <w:szCs w:val="28"/>
        </w:rPr>
        <w:t>按公司相关规定</w:t>
      </w:r>
      <w:r>
        <w:rPr>
          <w:rFonts w:hint="eastAsia" w:ascii="仿宋_GB2312" w:hAnsi="华文仿宋"/>
          <w:sz w:val="28"/>
          <w:szCs w:val="28"/>
        </w:rPr>
        <w:t>各机构</w:t>
      </w:r>
      <w:r>
        <w:rPr>
          <w:rFonts w:hint="eastAsia" w:ascii="仿宋_GB2312" w:hAnsi="华文仿宋"/>
          <w:bCs/>
          <w:sz w:val="28"/>
          <w:szCs w:val="28"/>
        </w:rPr>
        <w:t>负责人有</w:t>
      </w:r>
      <w:r>
        <w:rPr>
          <w:rFonts w:hint="eastAsia" w:ascii="仿宋_GB2312"/>
          <w:sz w:val="28"/>
          <w:szCs w:val="28"/>
        </w:rPr>
        <w:t>临时机动处置权，</w:t>
      </w:r>
      <w:r>
        <w:rPr>
          <w:rFonts w:hint="eastAsia" w:ascii="仿宋_GB2312" w:hAnsi="华文仿宋"/>
          <w:bCs/>
          <w:sz w:val="28"/>
          <w:szCs w:val="28"/>
        </w:rPr>
        <w:t>管理工程负责人和</w:t>
      </w:r>
      <w:r>
        <w:rPr>
          <w:rFonts w:hint="eastAsia" w:ascii="仿宋_GB2312" w:hAnsi="华文仿宋"/>
          <w:sz w:val="28"/>
          <w:szCs w:val="28"/>
        </w:rPr>
        <w:t>各机构</w:t>
      </w:r>
      <w:r>
        <w:rPr>
          <w:rFonts w:hint="eastAsia" w:ascii="仿宋_GB2312" w:hAnsi="华文仿宋"/>
          <w:bCs/>
          <w:sz w:val="28"/>
          <w:szCs w:val="28"/>
        </w:rPr>
        <w:t>负责人须</w:t>
      </w:r>
      <w:r>
        <w:rPr>
          <w:rFonts w:hint="eastAsia" w:ascii="仿宋_GB2312"/>
          <w:sz w:val="28"/>
          <w:szCs w:val="28"/>
        </w:rPr>
        <w:t>立即</w:t>
      </w:r>
      <w:r>
        <w:rPr>
          <w:rFonts w:hint="eastAsia" w:ascii="仿宋_GB2312" w:hAnsi="华文仿宋"/>
          <w:bCs/>
          <w:sz w:val="28"/>
          <w:szCs w:val="28"/>
        </w:rPr>
        <w:t>赶赴现场，同时了解现场情况，指挥启动相关预案，合理调配人力物力，</w:t>
      </w:r>
      <w:r>
        <w:rPr>
          <w:rFonts w:hint="eastAsia" w:ascii="仿宋_GB2312"/>
          <w:sz w:val="28"/>
          <w:szCs w:val="28"/>
        </w:rPr>
        <w:t>采取</w:t>
      </w:r>
      <w:r>
        <w:rPr>
          <w:rFonts w:hint="eastAsia" w:ascii="仿宋_GB2312" w:hAnsi="华文仿宋"/>
          <w:sz w:val="28"/>
          <w:szCs w:val="28"/>
        </w:rPr>
        <w:t>正确有效措施，防止事态扩大，减少人员伤亡，降低事故损失。</w:t>
      </w:r>
      <w:r>
        <w:rPr>
          <w:rFonts w:hint="eastAsia" w:ascii="仿宋_GB2312"/>
          <w:sz w:val="28"/>
          <w:szCs w:val="28"/>
        </w:rPr>
        <w:t>事态严重的，需及时交由消防等专业部门处置。</w:t>
      </w:r>
    </w:p>
    <w:p w14:paraId="39886E04">
      <w:pPr>
        <w:pStyle w:val="3"/>
        <w:spacing w:line="560" w:lineRule="exact"/>
        <w:rPr>
          <w:rFonts w:hint="eastAsia" w:ascii="仿宋_GB2312" w:hAnsi="华文仿宋"/>
          <w:bCs/>
          <w:szCs w:val="28"/>
        </w:rPr>
      </w:pPr>
      <w:r>
        <w:rPr>
          <w:rFonts w:hint="eastAsia" w:ascii="仿宋_GB2312" w:hAnsi="华文仿宋"/>
          <w:bCs/>
          <w:szCs w:val="28"/>
        </w:rPr>
        <w:t>4.3.3发生</w:t>
      </w:r>
      <w:r>
        <w:rPr>
          <w:rFonts w:hint="eastAsia" w:ascii="仿宋_GB2312"/>
          <w:szCs w:val="28"/>
        </w:rPr>
        <w:t>事故及紧急情况后，应</w:t>
      </w:r>
      <w:r>
        <w:rPr>
          <w:rFonts w:hint="eastAsia" w:ascii="仿宋_GB2312" w:hAnsi="华文仿宋"/>
          <w:bCs/>
          <w:szCs w:val="28"/>
        </w:rPr>
        <w:t>保护现场和留存相关证据以备调查，</w:t>
      </w:r>
      <w:r>
        <w:rPr>
          <w:rFonts w:hint="eastAsia" w:ascii="仿宋_GB2312"/>
          <w:szCs w:val="28"/>
        </w:rPr>
        <w:t>因抢救人员、防止事故扩大以及疏通交通等原因，需要移动事故现场物件的，应当做出标志，绘制现场简图并做出书面记录，妥善保存现场重要痕迹、物证。</w:t>
      </w:r>
    </w:p>
    <w:p w14:paraId="69AF0156">
      <w:pPr>
        <w:pStyle w:val="5"/>
        <w:spacing w:line="560" w:lineRule="exact"/>
        <w:ind w:left="0" w:leftChars="0"/>
        <w:rPr>
          <w:rFonts w:hint="eastAsia" w:ascii="仿宋_GB2312" w:hAnsi="华文仿宋"/>
          <w:sz w:val="28"/>
          <w:szCs w:val="28"/>
        </w:rPr>
      </w:pPr>
      <w:r>
        <w:rPr>
          <w:rFonts w:hint="eastAsia" w:ascii="仿宋_GB2312" w:hAnsi="华文仿宋"/>
          <w:sz w:val="28"/>
          <w:szCs w:val="28"/>
        </w:rPr>
        <w:t>4.3.4由公司</w:t>
      </w:r>
      <w:r>
        <w:rPr>
          <w:rFonts w:hint="eastAsia" w:ascii="仿宋_GB2312" w:hAnsi="华文仿宋"/>
          <w:bCs/>
          <w:sz w:val="28"/>
          <w:szCs w:val="28"/>
        </w:rPr>
        <w:t>安委会领导亲自或指派</w:t>
      </w:r>
      <w:r>
        <w:rPr>
          <w:rFonts w:hint="eastAsia" w:ascii="仿宋_GB2312"/>
          <w:sz w:val="28"/>
          <w:szCs w:val="28"/>
        </w:rPr>
        <w:t>公司</w:t>
      </w:r>
      <w:r>
        <w:rPr>
          <w:rFonts w:hint="eastAsia" w:ascii="仿宋_GB2312" w:hAnsi="华文仿宋"/>
          <w:bCs/>
          <w:sz w:val="28"/>
          <w:szCs w:val="28"/>
        </w:rPr>
        <w:t>安委会办公室</w:t>
      </w:r>
      <w:r>
        <w:rPr>
          <w:rFonts w:hint="eastAsia" w:ascii="仿宋_GB2312"/>
          <w:sz w:val="28"/>
          <w:szCs w:val="28"/>
        </w:rPr>
        <w:t>对事故及紧急情况的处理过程进行调查，</w:t>
      </w:r>
      <w:r>
        <w:rPr>
          <w:rFonts w:hint="eastAsia" w:ascii="仿宋_GB2312" w:hAnsi="华文仿宋"/>
          <w:sz w:val="28"/>
          <w:szCs w:val="28"/>
        </w:rPr>
        <w:t>各机构</w:t>
      </w:r>
      <w:r>
        <w:rPr>
          <w:rFonts w:hint="eastAsia" w:ascii="仿宋_GB2312" w:hAnsi="华文仿宋"/>
          <w:bCs/>
          <w:sz w:val="28"/>
          <w:szCs w:val="28"/>
        </w:rPr>
        <w:t>负责人须认真配合</w:t>
      </w:r>
      <w:r>
        <w:rPr>
          <w:rFonts w:hint="eastAsia" w:ascii="仿宋_GB2312"/>
          <w:sz w:val="28"/>
          <w:szCs w:val="28"/>
        </w:rPr>
        <w:t>公司</w:t>
      </w:r>
      <w:r>
        <w:rPr>
          <w:rFonts w:hint="eastAsia" w:ascii="仿宋_GB2312" w:hAnsi="华文仿宋"/>
          <w:bCs/>
          <w:sz w:val="28"/>
          <w:szCs w:val="28"/>
        </w:rPr>
        <w:t>的</w:t>
      </w:r>
      <w:r>
        <w:rPr>
          <w:rFonts w:hint="eastAsia" w:ascii="仿宋_GB2312"/>
          <w:sz w:val="28"/>
          <w:szCs w:val="28"/>
        </w:rPr>
        <w:t>事后</w:t>
      </w:r>
      <w:r>
        <w:rPr>
          <w:rFonts w:hint="eastAsia" w:ascii="仿宋_GB2312" w:hAnsi="华文仿宋"/>
          <w:bCs/>
          <w:sz w:val="28"/>
          <w:szCs w:val="28"/>
        </w:rPr>
        <w:t>调查，</w:t>
      </w:r>
      <w:r>
        <w:rPr>
          <w:rFonts w:hint="eastAsia" w:ascii="仿宋_GB2312"/>
          <w:sz w:val="28"/>
          <w:szCs w:val="28"/>
        </w:rPr>
        <w:t>由公司</w:t>
      </w:r>
      <w:r>
        <w:rPr>
          <w:rFonts w:hint="eastAsia" w:ascii="仿宋_GB2312" w:hAnsi="华文仿宋"/>
          <w:sz w:val="28"/>
          <w:szCs w:val="28"/>
        </w:rPr>
        <w:t>安全管理</w:t>
      </w:r>
      <w:r>
        <w:rPr>
          <w:rFonts w:hint="eastAsia" w:ascii="仿宋_GB2312"/>
          <w:sz w:val="28"/>
          <w:szCs w:val="28"/>
        </w:rPr>
        <w:t>领导小组分析事故及紧急情况发生原因、处理过程、损害程度、责任界定等，经综合评定给出处理意见。</w:t>
      </w:r>
      <w:r>
        <w:rPr>
          <w:rFonts w:hint="eastAsia" w:ascii="仿宋_GB2312" w:hAnsi="华文仿宋"/>
          <w:bCs/>
          <w:sz w:val="28"/>
          <w:szCs w:val="28"/>
        </w:rPr>
        <w:t>由上级单位或有关政府部门进行事故调查的，须全力配合，不得设法掩盖真相。</w:t>
      </w:r>
    </w:p>
    <w:p w14:paraId="29B39D53">
      <w:pPr>
        <w:pStyle w:val="5"/>
        <w:spacing w:line="560" w:lineRule="exact"/>
        <w:ind w:left="0" w:leftChars="0"/>
        <w:rPr>
          <w:rFonts w:hint="eastAsia" w:ascii="仿宋_GB2312" w:hAnsi="华文仿宋"/>
          <w:sz w:val="28"/>
          <w:szCs w:val="28"/>
        </w:rPr>
      </w:pPr>
      <w:r>
        <w:rPr>
          <w:rFonts w:hint="eastAsia" w:ascii="仿宋_GB2312" w:hAnsi="华文仿宋"/>
          <w:sz w:val="28"/>
          <w:szCs w:val="28"/>
        </w:rPr>
        <w:t>4.3.5</w:t>
      </w:r>
      <w:r>
        <w:rPr>
          <w:rFonts w:hint="eastAsia" w:ascii="仿宋_GB2312"/>
          <w:sz w:val="28"/>
          <w:szCs w:val="28"/>
        </w:rPr>
        <w:t>事故及紧急情况的</w:t>
      </w:r>
      <w:r>
        <w:rPr>
          <w:rFonts w:hint="eastAsia" w:ascii="仿宋_GB2312" w:hAnsi="华文仿宋"/>
          <w:sz w:val="28"/>
          <w:szCs w:val="28"/>
        </w:rPr>
        <w:t>基本处置完成后，</w:t>
      </w:r>
      <w:r>
        <w:rPr>
          <w:rFonts w:hint="eastAsia" w:ascii="仿宋_GB2312" w:hAnsi="华文仿宋"/>
          <w:bCs/>
          <w:sz w:val="28"/>
          <w:szCs w:val="28"/>
        </w:rPr>
        <w:t>妥善处理善后工作，尽快恢复正常工作状态，</w:t>
      </w:r>
      <w:r>
        <w:rPr>
          <w:rFonts w:hint="eastAsia" w:ascii="仿宋_GB2312" w:hAnsi="华文仿宋"/>
          <w:sz w:val="28"/>
          <w:szCs w:val="28"/>
        </w:rPr>
        <w:t>避免不良社会影响及对公司品牌声誉造成损害。由发生机构在五个工作日内</w:t>
      </w:r>
      <w:r>
        <w:rPr>
          <w:rFonts w:hint="eastAsia" w:ascii="仿宋_GB2312" w:hAnsi="华文仿宋"/>
          <w:bCs/>
          <w:sz w:val="28"/>
          <w:szCs w:val="28"/>
        </w:rPr>
        <w:t>向公司安委会办公室提交相关报告，报告包括</w:t>
      </w:r>
      <w:r>
        <w:rPr>
          <w:rFonts w:hint="eastAsia" w:ascii="仿宋_GB2312"/>
          <w:sz w:val="28"/>
          <w:szCs w:val="28"/>
        </w:rPr>
        <w:t>事故及</w:t>
      </w:r>
      <w:r>
        <w:rPr>
          <w:rFonts w:hint="eastAsia" w:ascii="仿宋_GB2312" w:hAnsi="华文仿宋"/>
          <w:sz w:val="28"/>
          <w:szCs w:val="28"/>
        </w:rPr>
        <w:t>紧急情况的发生、报告、处置经过，原因和造成影响的初步分析，以及后续处理措施等内容，报告须</w:t>
      </w:r>
      <w:r>
        <w:rPr>
          <w:rFonts w:hint="eastAsia" w:ascii="仿宋_GB2312" w:hAnsi="华文仿宋"/>
          <w:bCs/>
          <w:sz w:val="28"/>
          <w:szCs w:val="28"/>
        </w:rPr>
        <w:t>如实反映情况，不得设法掩盖真相。</w:t>
      </w:r>
    </w:p>
    <w:p w14:paraId="687AC436">
      <w:pPr>
        <w:pStyle w:val="3"/>
        <w:spacing w:line="560" w:lineRule="exact"/>
        <w:rPr>
          <w:rFonts w:hint="eastAsia" w:ascii="仿宋_GB2312" w:hAnsi="华文仿宋"/>
          <w:bCs/>
          <w:szCs w:val="28"/>
        </w:rPr>
      </w:pPr>
      <w:r>
        <w:rPr>
          <w:rFonts w:hint="eastAsia" w:ascii="仿宋_GB2312" w:hAnsi="华文仿宋"/>
          <w:szCs w:val="28"/>
        </w:rPr>
        <w:t>4.3.6</w:t>
      </w:r>
      <w:r>
        <w:rPr>
          <w:rFonts w:hint="eastAsia" w:ascii="仿宋_GB2312" w:hAnsi="华文仿宋"/>
          <w:bCs/>
          <w:szCs w:val="28"/>
        </w:rPr>
        <w:t>公司安委会</w:t>
      </w:r>
      <w:r>
        <w:rPr>
          <w:rFonts w:hint="eastAsia" w:ascii="仿宋_GB2312" w:hAnsi="华文仿宋"/>
          <w:szCs w:val="28"/>
        </w:rPr>
        <w:t>认定</w:t>
      </w:r>
      <w:r>
        <w:rPr>
          <w:rFonts w:hint="eastAsia" w:ascii="仿宋_GB2312"/>
          <w:szCs w:val="28"/>
        </w:rPr>
        <w:t>事故及紧急情况的责任后，由</w:t>
      </w:r>
      <w:r>
        <w:rPr>
          <w:rFonts w:hint="eastAsia" w:ascii="仿宋_GB2312" w:hAnsi="华文仿宋"/>
          <w:szCs w:val="28"/>
        </w:rPr>
        <w:t>公司</w:t>
      </w:r>
      <w:r>
        <w:rPr>
          <w:rFonts w:hint="eastAsia" w:ascii="仿宋_GB2312" w:hAnsi="华文仿宋"/>
          <w:bCs/>
          <w:szCs w:val="28"/>
        </w:rPr>
        <w:t>安委会出具具体的处理决定，相关责任人应认真吸取教训，严格按公司要求进行整改善后，并将整改结果报公司安委会办公室，公司安委会办公室将对整改情况予以跟踪。</w:t>
      </w:r>
    </w:p>
    <w:p w14:paraId="47508B57">
      <w:pPr>
        <w:pStyle w:val="5"/>
        <w:spacing w:line="560" w:lineRule="exact"/>
        <w:ind w:left="0" w:leftChars="0"/>
        <w:rPr>
          <w:rFonts w:hint="eastAsia" w:ascii="仿宋_GB2312" w:hAnsi="华文仿宋"/>
          <w:b/>
          <w:bCs/>
          <w:sz w:val="28"/>
          <w:szCs w:val="28"/>
        </w:rPr>
      </w:pPr>
      <w:r>
        <w:rPr>
          <w:rFonts w:hint="eastAsia" w:ascii="仿宋_GB2312" w:hAnsi="华文仿宋"/>
          <w:bCs/>
          <w:sz w:val="28"/>
          <w:szCs w:val="28"/>
        </w:rPr>
        <w:t>4.4</w:t>
      </w:r>
      <w:r>
        <w:rPr>
          <w:rFonts w:hint="eastAsia" w:ascii="仿宋_GB2312" w:hAnsi="华文仿宋"/>
          <w:b/>
          <w:bCs/>
          <w:sz w:val="28"/>
          <w:szCs w:val="28"/>
        </w:rPr>
        <w:t>处罚</w:t>
      </w:r>
    </w:p>
    <w:p w14:paraId="48805AB7">
      <w:pPr>
        <w:pStyle w:val="3"/>
        <w:spacing w:line="560" w:lineRule="exact"/>
        <w:rPr>
          <w:rFonts w:hint="eastAsia" w:ascii="仿宋_GB2312"/>
          <w:szCs w:val="28"/>
        </w:rPr>
      </w:pPr>
      <w:r>
        <w:rPr>
          <w:rFonts w:hint="eastAsia" w:ascii="仿宋_GB2312"/>
          <w:szCs w:val="28"/>
        </w:rPr>
        <w:t>4.4.1在日常的检查中发现各管理工程虽未发生责任事故，但在日常的安全生产管理工作中，存在有不合格项，</w:t>
      </w:r>
      <w:r>
        <w:rPr>
          <w:rFonts w:hint="eastAsia" w:ascii="仿宋_GB2312" w:hAnsi="华文仿宋"/>
          <w:szCs w:val="28"/>
        </w:rPr>
        <w:t>公司</w:t>
      </w:r>
      <w:r>
        <w:rPr>
          <w:rFonts w:hint="eastAsia" w:ascii="仿宋_GB2312" w:hAnsi="华文仿宋"/>
          <w:bCs/>
          <w:szCs w:val="28"/>
        </w:rPr>
        <w:t>安委会发现后，将对相关责任人（主要是工程经理）进行经济</w:t>
      </w:r>
      <w:r>
        <w:rPr>
          <w:rFonts w:hint="eastAsia" w:ascii="仿宋_GB2312"/>
          <w:szCs w:val="28"/>
        </w:rPr>
        <w:t>处罚，每次拟定为50元，经处罚后同一问题未能有效改进，经复查后仍未能解决的，追加处罚100元，再经复查不合格的，追加处罚500元，并</w:t>
      </w:r>
      <w:r>
        <w:rPr>
          <w:rFonts w:hint="eastAsia" w:ascii="仿宋_GB2312" w:hAnsi="华文仿宋"/>
          <w:bCs/>
          <w:szCs w:val="28"/>
        </w:rPr>
        <w:t>予以降薪、降职或解职处理</w:t>
      </w:r>
      <w:r>
        <w:rPr>
          <w:rFonts w:hint="eastAsia" w:ascii="仿宋_GB2312"/>
          <w:szCs w:val="28"/>
        </w:rPr>
        <w:t>。</w:t>
      </w:r>
    </w:p>
    <w:p w14:paraId="680671EB">
      <w:pPr>
        <w:pStyle w:val="3"/>
        <w:spacing w:line="560" w:lineRule="exact"/>
        <w:rPr>
          <w:rFonts w:hint="eastAsia" w:ascii="仿宋_GB2312" w:hAnsi="华文仿宋"/>
          <w:bCs/>
          <w:szCs w:val="28"/>
        </w:rPr>
      </w:pPr>
      <w:r>
        <w:rPr>
          <w:rFonts w:hint="eastAsia" w:ascii="仿宋_GB2312"/>
          <w:szCs w:val="28"/>
        </w:rPr>
        <w:t>4.4.2对分公司一级的</w:t>
      </w:r>
      <w:r>
        <w:rPr>
          <w:rFonts w:hint="eastAsia" w:ascii="仿宋_GB2312" w:hAnsi="华文仿宋"/>
          <w:bCs/>
          <w:szCs w:val="28"/>
        </w:rPr>
        <w:t>相关责任人（主要是分公司经理、分管副经理），所属管理工程同一年度内累计出现三次被经济处罚，将对</w:t>
      </w:r>
      <w:r>
        <w:rPr>
          <w:rFonts w:hint="eastAsia" w:ascii="仿宋_GB2312"/>
          <w:szCs w:val="28"/>
        </w:rPr>
        <w:t>分公司级</w:t>
      </w:r>
      <w:r>
        <w:rPr>
          <w:rFonts w:hint="eastAsia" w:ascii="仿宋_GB2312" w:hAnsi="华文仿宋"/>
          <w:bCs/>
          <w:szCs w:val="28"/>
        </w:rPr>
        <w:t>责任人予以经济</w:t>
      </w:r>
      <w:r>
        <w:rPr>
          <w:rFonts w:hint="eastAsia" w:ascii="仿宋_GB2312"/>
          <w:szCs w:val="28"/>
        </w:rPr>
        <w:t>处罚，每次拟定为300元；同一管理工程</w:t>
      </w:r>
      <w:r>
        <w:rPr>
          <w:rFonts w:hint="eastAsia" w:ascii="仿宋_GB2312" w:hAnsi="华文仿宋"/>
          <w:bCs/>
          <w:szCs w:val="28"/>
        </w:rPr>
        <w:t>累计出现三次被经济处罚，将对</w:t>
      </w:r>
      <w:r>
        <w:rPr>
          <w:rFonts w:hint="eastAsia" w:ascii="仿宋_GB2312"/>
          <w:szCs w:val="28"/>
        </w:rPr>
        <w:t>分公司级</w:t>
      </w:r>
      <w:r>
        <w:rPr>
          <w:rFonts w:hint="eastAsia" w:ascii="仿宋_GB2312" w:hAnsi="华文仿宋"/>
          <w:bCs/>
          <w:szCs w:val="28"/>
        </w:rPr>
        <w:t>责任人予以经济</w:t>
      </w:r>
      <w:r>
        <w:rPr>
          <w:rFonts w:hint="eastAsia" w:ascii="仿宋_GB2312"/>
          <w:szCs w:val="28"/>
        </w:rPr>
        <w:t>处罚，每次拟定为500元；</w:t>
      </w:r>
      <w:r>
        <w:rPr>
          <w:rFonts w:hint="eastAsia" w:ascii="仿宋_GB2312" w:hAnsi="华文仿宋"/>
          <w:bCs/>
          <w:szCs w:val="28"/>
        </w:rPr>
        <w:t>所属管理工程同一年度内累计出现五次被经济处罚，将对</w:t>
      </w:r>
      <w:r>
        <w:rPr>
          <w:rFonts w:hint="eastAsia" w:ascii="仿宋_GB2312"/>
          <w:szCs w:val="28"/>
        </w:rPr>
        <w:t>分公司级</w:t>
      </w:r>
      <w:r>
        <w:rPr>
          <w:rFonts w:hint="eastAsia" w:ascii="仿宋_GB2312" w:hAnsi="华文仿宋"/>
          <w:bCs/>
          <w:szCs w:val="28"/>
        </w:rPr>
        <w:t>责任人予以降薪或降职处理；所属管理工程同一年度内累计出现十次被经济处罚，将对</w:t>
      </w:r>
      <w:r>
        <w:rPr>
          <w:rFonts w:hint="eastAsia" w:ascii="仿宋_GB2312"/>
          <w:szCs w:val="28"/>
        </w:rPr>
        <w:t>分公司级</w:t>
      </w:r>
      <w:r>
        <w:rPr>
          <w:rFonts w:hint="eastAsia" w:ascii="仿宋_GB2312" w:hAnsi="华文仿宋"/>
          <w:bCs/>
          <w:szCs w:val="28"/>
        </w:rPr>
        <w:t>责任人予以降职或解职处理。</w:t>
      </w:r>
    </w:p>
    <w:p w14:paraId="6A2081CF">
      <w:pPr>
        <w:pStyle w:val="3"/>
        <w:spacing w:line="560" w:lineRule="exact"/>
        <w:rPr>
          <w:rFonts w:hint="eastAsia" w:ascii="仿宋_GB2312" w:hAnsi="华文仿宋"/>
          <w:bCs/>
          <w:szCs w:val="28"/>
        </w:rPr>
      </w:pPr>
      <w:r>
        <w:rPr>
          <w:rFonts w:hint="eastAsia" w:ascii="仿宋_GB2312" w:hAnsi="华文仿宋"/>
          <w:bCs/>
          <w:szCs w:val="28"/>
        </w:rPr>
        <w:t>4.4.3对事故的处罚</w:t>
      </w:r>
    </w:p>
    <w:p w14:paraId="3C366FAC">
      <w:pPr>
        <w:pStyle w:val="3"/>
        <w:spacing w:line="560" w:lineRule="exact"/>
        <w:rPr>
          <w:rFonts w:hint="eastAsia" w:ascii="仿宋_GB2312" w:hAnsi="华文仿宋"/>
          <w:szCs w:val="28"/>
        </w:rPr>
      </w:pPr>
      <w:r>
        <w:rPr>
          <w:rFonts w:hint="eastAsia" w:ascii="仿宋_GB2312"/>
          <w:szCs w:val="28"/>
        </w:rPr>
        <w:t>A、</w:t>
      </w:r>
      <w:r>
        <w:rPr>
          <w:rFonts w:hint="eastAsia" w:ascii="仿宋_GB2312" w:hAnsi="华文仿宋"/>
          <w:szCs w:val="28"/>
        </w:rPr>
        <w:t>分公司及所属工程发生</w:t>
      </w:r>
      <w:r>
        <w:rPr>
          <w:rFonts w:hint="eastAsia" w:ascii="仿宋_GB2312"/>
          <w:szCs w:val="28"/>
        </w:rPr>
        <w:t>安全责任事故，导致公司</w:t>
      </w:r>
      <w:r>
        <w:rPr>
          <w:rFonts w:hint="eastAsia" w:ascii="仿宋_GB2312" w:hAnsi="华文仿宋"/>
          <w:szCs w:val="28"/>
        </w:rPr>
        <w:t>经济损失在5000元以上20000元以内的，由公司责任人予以通报批评，并扣发其当季度奖金。</w:t>
      </w:r>
    </w:p>
    <w:p w14:paraId="65D8A7DA">
      <w:pPr>
        <w:pStyle w:val="3"/>
        <w:spacing w:line="560" w:lineRule="exact"/>
        <w:rPr>
          <w:rFonts w:hint="eastAsia" w:ascii="仿宋_GB2312"/>
          <w:szCs w:val="28"/>
        </w:rPr>
      </w:pPr>
      <w:r>
        <w:rPr>
          <w:rFonts w:hint="eastAsia" w:ascii="仿宋_GB2312"/>
          <w:szCs w:val="28"/>
        </w:rPr>
        <w:t>B、</w:t>
      </w:r>
      <w:r>
        <w:rPr>
          <w:rFonts w:hint="eastAsia" w:ascii="仿宋_GB2312" w:hAnsi="华文仿宋"/>
          <w:szCs w:val="28"/>
        </w:rPr>
        <w:t>分公司及所属工程发生</w:t>
      </w:r>
      <w:r>
        <w:rPr>
          <w:rFonts w:hint="eastAsia" w:ascii="仿宋_GB2312"/>
          <w:szCs w:val="28"/>
        </w:rPr>
        <w:t>安全责任事故，导致公司</w:t>
      </w:r>
      <w:r>
        <w:rPr>
          <w:rFonts w:hint="eastAsia" w:ascii="仿宋_GB2312" w:hAnsi="华文仿宋"/>
          <w:szCs w:val="28"/>
        </w:rPr>
        <w:t>经济损失在20000元以上50000元以内的，由公司对责任人予以通报批评，并扣发其当年度全部奖金。</w:t>
      </w:r>
    </w:p>
    <w:p w14:paraId="3A06F4FF">
      <w:pPr>
        <w:pStyle w:val="3"/>
        <w:spacing w:line="560" w:lineRule="exact"/>
        <w:rPr>
          <w:rFonts w:hint="eastAsia" w:ascii="仿宋_GB2312" w:hAnsi="华文仿宋"/>
          <w:szCs w:val="28"/>
        </w:rPr>
      </w:pPr>
      <w:r>
        <w:rPr>
          <w:rFonts w:hint="eastAsia" w:ascii="仿宋_GB2312"/>
          <w:szCs w:val="28"/>
        </w:rPr>
        <w:t>C、</w:t>
      </w:r>
      <w:r>
        <w:rPr>
          <w:rFonts w:hint="eastAsia" w:ascii="仿宋_GB2312" w:hAnsi="华文仿宋"/>
          <w:szCs w:val="28"/>
        </w:rPr>
        <w:t>分公司及所属工程发生</w:t>
      </w:r>
      <w:r>
        <w:rPr>
          <w:rFonts w:hint="eastAsia" w:ascii="仿宋_GB2312"/>
          <w:szCs w:val="28"/>
        </w:rPr>
        <w:t>安全责任事故，导致公司</w:t>
      </w:r>
      <w:r>
        <w:rPr>
          <w:rFonts w:hint="eastAsia" w:ascii="仿宋_GB2312" w:hAnsi="华文仿宋"/>
          <w:szCs w:val="28"/>
        </w:rPr>
        <w:t>经济损失在50000元以上至100000元及其以上的，由公司对责任人予以停职、降职或辞退处分。</w:t>
      </w:r>
    </w:p>
    <w:p w14:paraId="6B48432F">
      <w:pPr>
        <w:pStyle w:val="3"/>
        <w:spacing w:line="560" w:lineRule="exact"/>
        <w:rPr>
          <w:rFonts w:hint="eastAsia" w:ascii="仿宋_GB2312" w:hAnsi="华文仿宋"/>
          <w:bCs/>
          <w:szCs w:val="28"/>
        </w:rPr>
      </w:pPr>
      <w:r>
        <w:rPr>
          <w:rFonts w:hint="eastAsia" w:ascii="仿宋_GB2312" w:hAnsi="华文仿宋"/>
          <w:bCs/>
          <w:szCs w:val="28"/>
        </w:rPr>
        <w:t>4.5奖励</w:t>
      </w:r>
    </w:p>
    <w:p w14:paraId="5C270252">
      <w:pPr>
        <w:pStyle w:val="3"/>
        <w:spacing w:line="560" w:lineRule="exact"/>
        <w:rPr>
          <w:rFonts w:hint="eastAsia" w:ascii="仿宋_GB2312"/>
          <w:szCs w:val="28"/>
        </w:rPr>
      </w:pPr>
      <w:r>
        <w:rPr>
          <w:rFonts w:hint="eastAsia" w:ascii="仿宋_GB2312"/>
          <w:szCs w:val="28"/>
        </w:rPr>
        <w:t>4.5.1年度安全指标安全奖励。</w:t>
      </w:r>
    </w:p>
    <w:p w14:paraId="5A2321B9">
      <w:pPr>
        <w:pStyle w:val="3"/>
        <w:spacing w:line="560" w:lineRule="exact"/>
        <w:rPr>
          <w:rFonts w:hint="eastAsia" w:ascii="仿宋_GB2312" w:hAnsi="仿宋"/>
          <w:szCs w:val="28"/>
        </w:rPr>
      </w:pPr>
      <w:r>
        <w:rPr>
          <w:rFonts w:hint="eastAsia" w:ascii="仿宋_GB2312" w:hAnsi="仿宋"/>
          <w:szCs w:val="28"/>
        </w:rPr>
        <w:t>A、年度安全指标奖励发放范围包括公司安全管理委员会成员、公司职能部门相关工作人员、分公司领导班子成员（按照兼任管理工程的工程经理发放）、分公司安全管理主管职能部门经理及相关工作人员（分公司兼职安全员）、各管理工程工程经理。</w:t>
      </w:r>
    </w:p>
    <w:p w14:paraId="652DDAEE">
      <w:pPr>
        <w:pStyle w:val="3"/>
        <w:spacing w:line="560" w:lineRule="exact"/>
        <w:rPr>
          <w:rFonts w:hint="eastAsia" w:ascii="仿宋_GB2312" w:hAnsi="仿宋"/>
          <w:szCs w:val="28"/>
        </w:rPr>
      </w:pPr>
      <w:r>
        <w:rPr>
          <w:rFonts w:hint="eastAsia" w:ascii="仿宋_GB2312" w:hAnsi="仿宋"/>
          <w:szCs w:val="28"/>
        </w:rPr>
        <w:t>B、年度安全指标奖励发放实行“一票否决制”， 公司整体突破建设集团与公司所签《安全责任书》中年度安全指标(以集团认定为准，具体标准见附件)，则全公司年度安全指标奖励不予发放。凡发生经公司安全管理委员会认定的安全生产责任事故的管理工程，均视为年度安全指标未能实现，故该管理工程年度安全指标奖励不予发放。该管理工程所属分公司领导班子成员、分公司安全管理主管职能部门经理及相关工作人员减额发放（减额比例见附件），具体额度由公司安委会根据事故损失程度研究决定。管理工程的相关方（主要是服务外包单位）发生事故的，将由公司安委会根据事故具体情况作出分析后，研究决定是否进行“一票否决”或减额发放。</w:t>
      </w:r>
    </w:p>
    <w:p w14:paraId="0F0A6C69">
      <w:pPr>
        <w:pStyle w:val="3"/>
        <w:spacing w:line="560" w:lineRule="exact"/>
        <w:rPr>
          <w:rFonts w:hint="eastAsia" w:ascii="仿宋_GB2312" w:hAnsi="仿宋"/>
          <w:szCs w:val="28"/>
        </w:rPr>
      </w:pPr>
      <w:r>
        <w:rPr>
          <w:rFonts w:hint="eastAsia" w:ascii="仿宋_GB2312" w:hAnsi="仿宋"/>
          <w:szCs w:val="28"/>
        </w:rPr>
        <w:t>安全生产责任事故损失较大的，将由公司安委会另行研究处理或处罚。</w:t>
      </w:r>
    </w:p>
    <w:p w14:paraId="40ED3D02">
      <w:pPr>
        <w:pStyle w:val="3"/>
        <w:spacing w:line="560" w:lineRule="exact"/>
        <w:rPr>
          <w:rFonts w:hint="eastAsia" w:ascii="仿宋_GB2312" w:hAnsi="仿宋"/>
          <w:szCs w:val="28"/>
        </w:rPr>
      </w:pPr>
      <w:r>
        <w:rPr>
          <w:rFonts w:hint="eastAsia" w:ascii="仿宋_GB2312" w:hAnsi="仿宋"/>
          <w:szCs w:val="28"/>
        </w:rPr>
        <w:t>C、公司安全管理委员会成员、公司职能部门相关工作人员年度安全指标奖励标准由公司安委会研究决定；分公司安全管理主管职能部门经理及相关工作人员年度安全指标奖励标准由公司安委会办公室研究决定。</w:t>
      </w:r>
    </w:p>
    <w:p w14:paraId="6DC73359">
      <w:pPr>
        <w:pStyle w:val="3"/>
        <w:spacing w:line="560" w:lineRule="exact"/>
        <w:rPr>
          <w:rFonts w:hint="eastAsia" w:ascii="仿宋_GB2312" w:hAnsi="仿宋"/>
          <w:szCs w:val="28"/>
        </w:rPr>
      </w:pPr>
      <w:r>
        <w:rPr>
          <w:rFonts w:hint="eastAsia" w:ascii="仿宋_GB2312" w:hAnsi="仿宋"/>
          <w:szCs w:val="28"/>
        </w:rPr>
        <w:t>D、各管理工程工程经理年度安全指标奖励具体基数由公司安委会研究决定，奖励标准分为三个级别，由各分公司领导班子按照各工程安全管理的难度由难到易进行排序，报公司安委会办公室（有建议权），经沟通、调整、确认后，按照30%（难度最大，按高级标准奖励）、30%（难度其次，按中级标准奖励）、40%（难度一般，按低级标准奖励）的比例确定各标准具体奖励名额。下辖管理工程少的分公司可将管理工程安全管理难度报公司安委会办公室，由公司安委会研究决定具体奖励标准。</w:t>
      </w:r>
    </w:p>
    <w:p w14:paraId="5AE647C5">
      <w:pPr>
        <w:pStyle w:val="3"/>
        <w:spacing w:line="560" w:lineRule="exact"/>
        <w:rPr>
          <w:rFonts w:hint="eastAsia" w:ascii="仿宋_GB2312" w:hAnsi="仿宋"/>
          <w:szCs w:val="28"/>
        </w:rPr>
      </w:pPr>
      <w:r>
        <w:rPr>
          <w:rFonts w:hint="eastAsia" w:ascii="仿宋_GB2312" w:hAnsi="仿宋"/>
          <w:szCs w:val="28"/>
        </w:rPr>
        <w:t>E、分公司在对管理工程安全管理难度进行排序时，具体方法如下：</w:t>
      </w:r>
    </w:p>
    <w:p w14:paraId="2E5496B6">
      <w:pPr>
        <w:pStyle w:val="3"/>
        <w:spacing w:line="560" w:lineRule="exact"/>
        <w:rPr>
          <w:rFonts w:hint="eastAsia" w:ascii="仿宋_GB2312" w:hAnsi="仿宋"/>
          <w:szCs w:val="28"/>
        </w:rPr>
      </w:pPr>
      <w:r>
        <w:rPr>
          <w:rFonts w:hint="eastAsia" w:ascii="仿宋_GB2312" w:hAnsi="仿宋"/>
          <w:szCs w:val="28"/>
        </w:rPr>
        <w:t>F、由分公司按各管理工程分别对以下因素进行排序，并按排名得出分数，第一名得1分，第二名得2分，以此类推；</w:t>
      </w:r>
    </w:p>
    <w:p w14:paraId="6F35F570">
      <w:pPr>
        <w:pStyle w:val="3"/>
        <w:spacing w:line="560" w:lineRule="exact"/>
        <w:rPr>
          <w:rFonts w:hint="eastAsia" w:ascii="仿宋_GB2312" w:hAnsi="仿宋"/>
          <w:szCs w:val="28"/>
        </w:rPr>
      </w:pPr>
      <w:r>
        <w:rPr>
          <w:rFonts w:hint="eastAsia" w:ascii="仿宋_GB2312" w:hAnsi="仿宋"/>
          <w:szCs w:val="28"/>
        </w:rPr>
        <w:t>a、发生事故后对公司及上级单位带来的不利影响（由大到小）；</w:t>
      </w:r>
    </w:p>
    <w:p w14:paraId="05160271">
      <w:pPr>
        <w:pStyle w:val="3"/>
        <w:spacing w:line="560" w:lineRule="exact"/>
        <w:rPr>
          <w:rFonts w:hint="eastAsia" w:ascii="仿宋_GB2312" w:hAnsi="仿宋"/>
          <w:szCs w:val="28"/>
        </w:rPr>
      </w:pPr>
      <w:r>
        <w:rPr>
          <w:rFonts w:hint="eastAsia" w:ascii="仿宋_GB2312" w:hAnsi="仿宋"/>
          <w:szCs w:val="28"/>
        </w:rPr>
        <w:t>b、发生事故后造成的社会影响（由大到小）；</w:t>
      </w:r>
    </w:p>
    <w:p w14:paraId="1F31150C">
      <w:pPr>
        <w:pStyle w:val="3"/>
        <w:spacing w:line="560" w:lineRule="exact"/>
        <w:rPr>
          <w:rFonts w:hint="eastAsia" w:ascii="仿宋_GB2312" w:hAnsi="仿宋"/>
          <w:szCs w:val="28"/>
        </w:rPr>
      </w:pPr>
      <w:r>
        <w:rPr>
          <w:rFonts w:hint="eastAsia" w:ascii="仿宋_GB2312" w:hAnsi="仿宋"/>
          <w:szCs w:val="28"/>
        </w:rPr>
        <w:t>c、管理服务的内容、范围及标准（综合考虑，由难到易）；</w:t>
      </w:r>
    </w:p>
    <w:p w14:paraId="737C26AD">
      <w:pPr>
        <w:pStyle w:val="3"/>
        <w:spacing w:line="560" w:lineRule="exact"/>
        <w:rPr>
          <w:rFonts w:hint="eastAsia" w:ascii="仿宋_GB2312" w:hAnsi="仿宋"/>
          <w:szCs w:val="28"/>
        </w:rPr>
      </w:pPr>
      <w:r>
        <w:rPr>
          <w:rFonts w:hint="eastAsia" w:ascii="仿宋_GB2312" w:hAnsi="仿宋"/>
          <w:szCs w:val="28"/>
        </w:rPr>
        <w:t>d、安全专项资金投入困难程度（由大到小）；</w:t>
      </w:r>
    </w:p>
    <w:p w14:paraId="46991952">
      <w:pPr>
        <w:pStyle w:val="3"/>
        <w:spacing w:line="560" w:lineRule="exact"/>
        <w:rPr>
          <w:rFonts w:hint="eastAsia" w:ascii="仿宋_GB2312" w:hAnsi="仿宋"/>
          <w:szCs w:val="28"/>
        </w:rPr>
      </w:pPr>
      <w:r>
        <w:rPr>
          <w:rFonts w:hint="eastAsia" w:ascii="仿宋_GB2312" w:hAnsi="仿宋"/>
          <w:szCs w:val="28"/>
        </w:rPr>
        <w:t>e、下属人员（需一并考虑所管理的相关方人员）的数量与素质（由高到低）；</w:t>
      </w:r>
    </w:p>
    <w:p w14:paraId="0B45B4F9">
      <w:pPr>
        <w:pStyle w:val="3"/>
        <w:spacing w:line="560" w:lineRule="exact"/>
        <w:rPr>
          <w:rFonts w:hint="eastAsia" w:ascii="仿宋_GB2312" w:hAnsi="仿宋"/>
          <w:szCs w:val="28"/>
        </w:rPr>
      </w:pPr>
      <w:r>
        <w:rPr>
          <w:rFonts w:hint="eastAsia" w:ascii="仿宋_GB2312" w:hAnsi="仿宋"/>
          <w:szCs w:val="28"/>
        </w:rPr>
        <w:t>f、建筑及设施设备的管理复杂程度和老旧程度（由高到低）；</w:t>
      </w:r>
    </w:p>
    <w:p w14:paraId="6329DAA6">
      <w:pPr>
        <w:pStyle w:val="3"/>
        <w:spacing w:line="560" w:lineRule="exact"/>
        <w:rPr>
          <w:rFonts w:hint="eastAsia" w:ascii="仿宋_GB2312" w:hAnsi="仿宋"/>
          <w:szCs w:val="28"/>
        </w:rPr>
      </w:pPr>
      <w:r>
        <w:rPr>
          <w:rFonts w:hint="eastAsia" w:ascii="仿宋_GB2312" w:hAnsi="仿宋"/>
          <w:szCs w:val="28"/>
        </w:rPr>
        <w:t>g、管理服务区域内人员的密集程度（由大到小）；</w:t>
      </w:r>
    </w:p>
    <w:p w14:paraId="1CF28742">
      <w:pPr>
        <w:pStyle w:val="3"/>
        <w:spacing w:line="560" w:lineRule="exact"/>
        <w:rPr>
          <w:rFonts w:hint="eastAsia" w:ascii="仿宋_GB2312" w:hAnsi="仿宋"/>
          <w:szCs w:val="28"/>
        </w:rPr>
      </w:pPr>
      <w:r>
        <w:rPr>
          <w:rFonts w:hint="eastAsia" w:ascii="仿宋_GB2312" w:hAnsi="仿宋"/>
          <w:szCs w:val="28"/>
        </w:rPr>
        <w:t>h、业主方的支持力度（由小到大）。</w:t>
      </w:r>
    </w:p>
    <w:p w14:paraId="40D4696C">
      <w:pPr>
        <w:pStyle w:val="3"/>
        <w:spacing w:line="560" w:lineRule="exact"/>
        <w:rPr>
          <w:rFonts w:hint="eastAsia" w:ascii="仿宋_GB2312" w:hAnsi="仿宋"/>
          <w:szCs w:val="28"/>
        </w:rPr>
      </w:pPr>
      <w:r>
        <w:rPr>
          <w:rFonts w:hint="eastAsia" w:ascii="仿宋_GB2312" w:hAnsi="仿宋"/>
          <w:szCs w:val="28"/>
        </w:rPr>
        <w:t>G、对各管理工程各因素得分进行相加，得分最低的管理工程排第一名，其次为第二名，以此类推，排出管理工程次序。</w:t>
      </w:r>
    </w:p>
    <w:p w14:paraId="26C8F2DF">
      <w:pPr>
        <w:pStyle w:val="3"/>
        <w:spacing w:line="560" w:lineRule="exact"/>
        <w:rPr>
          <w:rFonts w:hint="eastAsia" w:ascii="仿宋_GB2312" w:hAnsi="仿宋"/>
          <w:szCs w:val="28"/>
        </w:rPr>
      </w:pPr>
      <w:r>
        <w:rPr>
          <w:rFonts w:hint="eastAsia" w:ascii="仿宋_GB2312" w:hAnsi="仿宋"/>
          <w:szCs w:val="28"/>
        </w:rPr>
        <w:t>H、由公司安委会办公室与分公司沟通调整后，确认排序。</w:t>
      </w:r>
    </w:p>
    <w:p w14:paraId="7E947B50">
      <w:pPr>
        <w:pStyle w:val="3"/>
        <w:spacing w:line="560" w:lineRule="exact"/>
        <w:rPr>
          <w:rFonts w:hint="eastAsia" w:ascii="仿宋_GB2312" w:hAnsi="仿宋"/>
          <w:szCs w:val="28"/>
        </w:rPr>
      </w:pPr>
      <w:r>
        <w:rPr>
          <w:rFonts w:hint="eastAsia" w:ascii="仿宋_GB2312" w:hAnsi="仿宋"/>
          <w:szCs w:val="28"/>
        </w:rPr>
        <w:t>I、分公司领导班子成员兼任管理工程工程经理的，按照兼任管理工程工程经理标准发放；兼任两个或多个工程的，按照高标准工程工程经理发放；兼任两个或多个工程同属较低标准的，可按上一级别标准发放，以高级标准封顶。</w:t>
      </w:r>
    </w:p>
    <w:p w14:paraId="512E5018">
      <w:pPr>
        <w:pStyle w:val="3"/>
        <w:spacing w:line="560" w:lineRule="exact"/>
        <w:rPr>
          <w:rFonts w:hint="eastAsia" w:ascii="仿宋_GB2312" w:hAnsi="仿宋"/>
          <w:szCs w:val="28"/>
        </w:rPr>
      </w:pPr>
      <w:r>
        <w:rPr>
          <w:rFonts w:hint="eastAsia" w:ascii="仿宋_GB2312" w:hAnsi="仿宋"/>
          <w:szCs w:val="28"/>
        </w:rPr>
        <w:t>J、受奖人员职务发生调动或变动后，按其实际担任各职务的工作时限计算。</w:t>
      </w:r>
    </w:p>
    <w:p w14:paraId="65599AC6">
      <w:pPr>
        <w:pStyle w:val="3"/>
        <w:spacing w:line="560" w:lineRule="exact"/>
        <w:rPr>
          <w:rFonts w:hint="eastAsia" w:ascii="仿宋_GB2312" w:hAnsi="仿宋"/>
          <w:szCs w:val="28"/>
        </w:rPr>
      </w:pPr>
      <w:r>
        <w:rPr>
          <w:rFonts w:hint="eastAsia" w:ascii="仿宋_GB2312" w:hAnsi="仿宋"/>
          <w:szCs w:val="28"/>
        </w:rPr>
        <w:t>4.5.2安全先进奖励</w:t>
      </w:r>
    </w:p>
    <w:p w14:paraId="2CEF2C27">
      <w:pPr>
        <w:pStyle w:val="3"/>
        <w:spacing w:line="560" w:lineRule="exact"/>
        <w:rPr>
          <w:rFonts w:hint="eastAsia" w:ascii="仿宋_GB2312" w:hAnsi="仿宋"/>
          <w:szCs w:val="28"/>
        </w:rPr>
      </w:pPr>
      <w:r>
        <w:rPr>
          <w:rFonts w:hint="eastAsia" w:ascii="仿宋_GB2312" w:hAnsi="仿宋"/>
          <w:szCs w:val="28"/>
        </w:rPr>
        <w:t>A、公司接受接受泰达建设集团的年度安全考评获得</w:t>
      </w:r>
      <w:r>
        <w:rPr>
          <w:rFonts w:hint="eastAsia" w:ascii="仿宋_GB2312" w:hAnsi="宋体"/>
          <w:szCs w:val="28"/>
        </w:rPr>
        <w:t>集团安全生产年度先进企业，或者代表集团</w:t>
      </w:r>
      <w:r>
        <w:rPr>
          <w:rFonts w:hint="eastAsia" w:ascii="仿宋_GB2312" w:hAnsi="仿宋"/>
          <w:szCs w:val="28"/>
        </w:rPr>
        <w:t>接受接受泰达控股的年度安全考评获得</w:t>
      </w:r>
      <w:r>
        <w:rPr>
          <w:rFonts w:hint="eastAsia" w:ascii="仿宋_GB2312" w:hAnsi="宋体"/>
          <w:szCs w:val="28"/>
        </w:rPr>
        <w:t>控股年度安全生产年度先进企业，以及获得集团级及以上级别安全类别的先进集体和个人荣誉的，将参照泰达控股和泰达建设集团的奖惩规定和标准发放</w:t>
      </w:r>
      <w:r>
        <w:rPr>
          <w:rFonts w:hint="eastAsia" w:ascii="仿宋_GB2312" w:hAnsi="仿宋"/>
          <w:szCs w:val="28"/>
        </w:rPr>
        <w:t>安全先进奖励。</w:t>
      </w:r>
    </w:p>
    <w:p w14:paraId="55A06F16">
      <w:pPr>
        <w:pStyle w:val="3"/>
        <w:spacing w:line="560" w:lineRule="exact"/>
        <w:rPr>
          <w:rFonts w:hint="eastAsia" w:ascii="仿宋_GB2312" w:hAnsi="仿宋"/>
          <w:szCs w:val="28"/>
        </w:rPr>
      </w:pPr>
      <w:r>
        <w:rPr>
          <w:rFonts w:hint="eastAsia" w:ascii="仿宋_GB2312" w:hAnsi="仿宋"/>
          <w:szCs w:val="28"/>
        </w:rPr>
        <w:t>B、代表公司参加建设集团或控股等上级单位的年度安全考评，公司获得优秀成绩的，经公司安委会研究决定后</w:t>
      </w:r>
      <w:r>
        <w:rPr>
          <w:rFonts w:hint="eastAsia" w:ascii="仿宋_GB2312" w:hAnsi="宋体"/>
          <w:szCs w:val="28"/>
        </w:rPr>
        <w:t>参照泰达控股和泰达建设集团的奖惩规定和标准发放</w:t>
      </w:r>
      <w:r>
        <w:rPr>
          <w:rFonts w:hint="eastAsia" w:ascii="仿宋_GB2312" w:hAnsi="仿宋"/>
          <w:szCs w:val="28"/>
        </w:rPr>
        <w:t>集体奖励，集体奖励由受奖单位自行分配（工程经理不再重复获得奖励），并将分配结果报公司安委会办公室备案。</w:t>
      </w:r>
    </w:p>
    <w:p w14:paraId="0B5CA040">
      <w:pPr>
        <w:pStyle w:val="3"/>
        <w:spacing w:line="560" w:lineRule="exact"/>
        <w:rPr>
          <w:rFonts w:hint="eastAsia" w:ascii="仿宋_GB2312"/>
          <w:szCs w:val="28"/>
        </w:rPr>
      </w:pPr>
      <w:r>
        <w:rPr>
          <w:rFonts w:hint="eastAsia" w:ascii="仿宋_GB2312"/>
          <w:szCs w:val="28"/>
        </w:rPr>
        <w:t>4.5.3特别奖励。</w:t>
      </w:r>
    </w:p>
    <w:p w14:paraId="2A355E95">
      <w:pPr>
        <w:pStyle w:val="3"/>
        <w:spacing w:line="560" w:lineRule="exact"/>
        <w:rPr>
          <w:rFonts w:hint="eastAsia" w:ascii="仿宋_GB2312"/>
          <w:szCs w:val="28"/>
        </w:rPr>
      </w:pPr>
      <w:r>
        <w:rPr>
          <w:rFonts w:hint="eastAsia" w:ascii="仿宋_GB2312"/>
          <w:szCs w:val="28"/>
        </w:rPr>
        <w:t>a）对于日常工作中，排除重大安全隐患，避免重大事故发生，以及在事故抢险救援中表现突出的集体与个人，由公司安委会经研究决定后予以特别奖励。</w:t>
      </w:r>
    </w:p>
    <w:p w14:paraId="7E9EF5DC">
      <w:pPr>
        <w:pStyle w:val="3"/>
        <w:spacing w:line="560" w:lineRule="exact"/>
        <w:rPr>
          <w:rFonts w:hint="eastAsia" w:ascii="仿宋_GB2312"/>
          <w:szCs w:val="28"/>
        </w:rPr>
      </w:pPr>
      <w:r>
        <w:rPr>
          <w:rFonts w:hint="eastAsia" w:ascii="仿宋_GB2312"/>
          <w:szCs w:val="28"/>
        </w:rPr>
        <w:t>b）特别奖励的方式、范围、具体机构和人员以及奖励标准由公司对具体隐患和事故予以调查分析后</w:t>
      </w:r>
      <w:r>
        <w:rPr>
          <w:rFonts w:hint="eastAsia" w:ascii="仿宋_GB2312" w:hAnsi="宋体"/>
          <w:szCs w:val="28"/>
        </w:rPr>
        <w:t>参照泰达控股和泰达建设集团的奖惩规定和标准发放</w:t>
      </w:r>
      <w:r>
        <w:rPr>
          <w:rFonts w:hint="eastAsia" w:ascii="仿宋_GB2312"/>
          <w:szCs w:val="28"/>
        </w:rPr>
        <w:t>。</w:t>
      </w:r>
    </w:p>
    <w:p w14:paraId="012C481E">
      <w:pPr>
        <w:pStyle w:val="3"/>
        <w:spacing w:line="560" w:lineRule="exact"/>
        <w:rPr>
          <w:rFonts w:hint="eastAsia" w:ascii="仿宋_GB2312"/>
          <w:b/>
          <w:szCs w:val="28"/>
        </w:rPr>
      </w:pPr>
      <w:r>
        <w:rPr>
          <w:rFonts w:hint="eastAsia" w:ascii="仿宋_GB2312"/>
          <w:b/>
          <w:szCs w:val="28"/>
        </w:rPr>
        <w:t>5.附则</w:t>
      </w:r>
    </w:p>
    <w:p w14:paraId="6CB6B62D">
      <w:pPr>
        <w:pStyle w:val="2"/>
        <w:tabs>
          <w:tab w:val="left" w:pos="900"/>
        </w:tabs>
        <w:spacing w:after="0" w:line="560" w:lineRule="exact"/>
        <w:ind w:left="0" w:leftChars="0"/>
        <w:rPr>
          <w:rFonts w:hint="eastAsia" w:ascii="仿宋_GB2312" w:eastAsia="仿宋_GB2312"/>
          <w:sz w:val="28"/>
          <w:szCs w:val="28"/>
        </w:rPr>
      </w:pPr>
      <w:r>
        <w:rPr>
          <w:rFonts w:hint="eastAsia" w:ascii="仿宋_GB2312" w:eastAsia="仿宋_GB2312"/>
          <w:sz w:val="28"/>
          <w:szCs w:val="28"/>
        </w:rPr>
        <w:t>5.1本制度与国家的有关法律、法规及上级有关规定不一致时，按国家法律、法规或上级规定执行。</w:t>
      </w:r>
    </w:p>
    <w:p w14:paraId="5C59355F">
      <w:pPr>
        <w:pStyle w:val="3"/>
        <w:tabs>
          <w:tab w:val="left" w:pos="1800"/>
        </w:tabs>
        <w:spacing w:line="560" w:lineRule="exact"/>
        <w:rPr>
          <w:rFonts w:hint="eastAsia" w:ascii="仿宋_GB2312" w:hAnsi="宋体"/>
          <w:szCs w:val="28"/>
        </w:rPr>
      </w:pPr>
      <w:r>
        <w:rPr>
          <w:rFonts w:hint="eastAsia" w:ascii="仿宋_GB2312" w:hAnsi="宋体"/>
          <w:szCs w:val="28"/>
        </w:rPr>
        <w:t>5.2本制度由公司安全管理委员会负责解释与修改。</w:t>
      </w:r>
    </w:p>
    <w:p w14:paraId="61D21BB8">
      <w:pPr>
        <w:pStyle w:val="3"/>
        <w:spacing w:line="560" w:lineRule="exact"/>
        <w:rPr>
          <w:rFonts w:hint="eastAsia" w:ascii="仿宋_GB2312"/>
          <w:szCs w:val="28"/>
        </w:rPr>
      </w:pPr>
      <w:r>
        <w:rPr>
          <w:rFonts w:hint="eastAsia" w:ascii="仿宋_GB2312" w:hAnsi="宋体"/>
          <w:szCs w:val="28"/>
        </w:rPr>
        <w:t>5.3本制度自2014年12月20日起施行。</w:t>
      </w:r>
    </w:p>
    <w:p w14:paraId="03E7729E">
      <w:pPr>
        <w:pStyle w:val="3"/>
        <w:spacing w:line="560" w:lineRule="exact"/>
        <w:rPr>
          <w:rFonts w:hint="eastAsia" w:ascii="仿宋_GB2312" w:hAnsi="仿宋"/>
          <w:szCs w:val="28"/>
        </w:rPr>
      </w:pPr>
      <w:r>
        <w:rPr>
          <w:rFonts w:hint="eastAsia" w:ascii="仿宋_GB2312" w:hAnsi="仿宋"/>
          <w:szCs w:val="28"/>
        </w:rPr>
        <w:t>附件：</w:t>
      </w:r>
    </w:p>
    <w:p w14:paraId="480606AD">
      <w:pPr>
        <w:pStyle w:val="3"/>
        <w:spacing w:line="560" w:lineRule="exact"/>
        <w:rPr>
          <w:rFonts w:hint="eastAsia" w:ascii="仿宋_GB2312"/>
          <w:sz w:val="24"/>
          <w:szCs w:val="24"/>
        </w:rPr>
      </w:pPr>
      <w:r>
        <w:rPr>
          <w:rFonts w:hint="eastAsia" w:ascii="仿宋_GB2312"/>
          <w:sz w:val="24"/>
          <w:szCs w:val="24"/>
        </w:rPr>
        <w:t>一、建设集团与**公司所签《安全责任书》中有关内容：</w:t>
      </w:r>
    </w:p>
    <w:p w14:paraId="4669072A">
      <w:pPr>
        <w:pStyle w:val="3"/>
        <w:spacing w:line="560" w:lineRule="exact"/>
        <w:rPr>
          <w:rFonts w:hint="eastAsia" w:ascii="仿宋_GB2312"/>
          <w:sz w:val="24"/>
          <w:szCs w:val="24"/>
        </w:rPr>
      </w:pPr>
      <w:r>
        <w:rPr>
          <w:rFonts w:hint="eastAsia" w:ascii="仿宋_GB2312"/>
          <w:sz w:val="24"/>
          <w:szCs w:val="24"/>
        </w:rPr>
        <w:t>1、突破集团下达的安全生产指标对所属企业责任人进行行政或经济处罚；完全责任和乙方主要责任区别处罚；泰达投资控股下达集团的安全生产目标为责任亡人、重伤和重大责任火灾事故为零。</w:t>
      </w:r>
    </w:p>
    <w:p w14:paraId="2169F4B5">
      <w:pPr>
        <w:pStyle w:val="3"/>
        <w:spacing w:line="560" w:lineRule="exact"/>
        <w:rPr>
          <w:rFonts w:hint="eastAsia" w:ascii="仿宋_GB2312"/>
          <w:sz w:val="24"/>
          <w:szCs w:val="24"/>
        </w:rPr>
      </w:pPr>
      <w:r>
        <w:rPr>
          <w:rFonts w:hint="eastAsia" w:ascii="仿宋_GB2312"/>
          <w:sz w:val="24"/>
          <w:szCs w:val="24"/>
        </w:rPr>
        <w:t>2、津泰建集[2014]14号文附件1《**泰达建设有限公司生产安全事故报告和调查处理暂行办法》第3条对生产安全事故的概念进行了界定。第4条对安全事故等级进行了划分，按生产安全责任事故严重程度分为轻微生产事故、一般事故、较大事故、重大事故和特别重大事故。轻微生产事故是指无责任亡人、重伤、经济损失10万元以下的生产责任事故和无责任火灾的事故；一般事故是指造成3人以下死亡，或者10人以下重伤（包括急性工业中毒，下同），或者1000万以下直接经济损失的事故；较大事故是指造成3人以上10以下死亡，或者10人以上50人以下重伤，或者1000万元以上5000万元以下直接经济损失的事故；重大事故是指造成10人以上30人以下死亡，或者50人以上100人以下重伤，或者5000万元以上1亿元以下直接经济损失的事故；特别重大事故是指造成30人以上死亡，或者100人以下重伤，或者1亿元以上直接经济损失的事故。</w:t>
      </w:r>
    </w:p>
    <w:p w14:paraId="373AC1AE">
      <w:pPr>
        <w:pStyle w:val="3"/>
        <w:spacing w:line="560" w:lineRule="exact"/>
        <w:rPr>
          <w:rFonts w:hint="eastAsia" w:ascii="仿宋_GB2312"/>
          <w:sz w:val="24"/>
          <w:szCs w:val="24"/>
        </w:rPr>
      </w:pPr>
      <w:r>
        <w:rPr>
          <w:rFonts w:hint="eastAsia" w:ascii="仿宋_GB2312"/>
          <w:sz w:val="24"/>
          <w:szCs w:val="24"/>
        </w:rPr>
        <w:t>3、依据泰达投资控股公司年度下达集团的安全生产指标，本着从严控制的原则，结合集团实际，集团当年分配给各单位的安全指标均为轻微生产责任事故。</w:t>
      </w:r>
    </w:p>
    <w:p w14:paraId="1252603B">
      <w:pPr>
        <w:pStyle w:val="3"/>
        <w:adjustRightInd w:val="0"/>
        <w:snapToGrid w:val="0"/>
        <w:spacing w:line="560" w:lineRule="exact"/>
        <w:rPr>
          <w:rFonts w:hint="eastAsia" w:ascii="仿宋_GB2312" w:hAnsi="华文仿宋"/>
          <w:sz w:val="24"/>
          <w:szCs w:val="24"/>
        </w:rPr>
      </w:pPr>
      <w:r>
        <w:rPr>
          <w:rFonts w:hint="eastAsia" w:ascii="仿宋_GB2312"/>
          <w:sz w:val="24"/>
          <w:szCs w:val="24"/>
        </w:rPr>
        <w:t>二、</w:t>
      </w:r>
      <w:r>
        <w:rPr>
          <w:rFonts w:hint="eastAsia" w:ascii="仿宋_GB2312" w:hAnsi="华文仿宋"/>
          <w:sz w:val="24"/>
          <w:szCs w:val="24"/>
        </w:rPr>
        <w:t>事故定义及等级界定：</w:t>
      </w:r>
    </w:p>
    <w:p w14:paraId="0ABEA342">
      <w:pPr>
        <w:pStyle w:val="3"/>
        <w:adjustRightInd w:val="0"/>
        <w:snapToGrid w:val="0"/>
        <w:spacing w:line="560" w:lineRule="exact"/>
        <w:rPr>
          <w:rFonts w:hint="eastAsia" w:ascii="仿宋_GB2312" w:hAnsi="华文仿宋"/>
          <w:sz w:val="24"/>
          <w:szCs w:val="24"/>
        </w:rPr>
      </w:pPr>
      <w:r>
        <w:rPr>
          <w:rFonts w:hint="eastAsia" w:ascii="仿宋_GB2312" w:cs="SimSun-Identity-H"/>
          <w:color w:val="000000"/>
          <w:kern w:val="0"/>
          <w:sz w:val="24"/>
          <w:szCs w:val="24"/>
        </w:rPr>
        <w:t>1、</w:t>
      </w:r>
      <w:r>
        <w:rPr>
          <w:rFonts w:hint="eastAsia" w:ascii="仿宋_GB2312"/>
          <w:sz w:val="24"/>
          <w:szCs w:val="24"/>
        </w:rPr>
        <w:t>公司视以下情况为事故：发生人身死亡、重伤和轻伤事故、职业健康危害事故、有人员运行管理责任的重大设备事故、火灾事故、环境污染与破坏事故、公共卫生安全事故、食品卫生安全（食物中毒）事故、同等责任以上的较大以上交通事故、公共秩序</w:t>
      </w:r>
      <w:r>
        <w:rPr>
          <w:rFonts w:hint="eastAsia" w:ascii="仿宋_GB2312" w:hAnsi="华文仿宋"/>
          <w:sz w:val="24"/>
          <w:szCs w:val="24"/>
        </w:rPr>
        <w:t>恶性治安案件。</w:t>
      </w:r>
    </w:p>
    <w:p w14:paraId="12351775">
      <w:pPr>
        <w:pStyle w:val="3"/>
        <w:adjustRightInd w:val="0"/>
        <w:snapToGrid w:val="0"/>
        <w:spacing w:line="560" w:lineRule="exact"/>
        <w:rPr>
          <w:rFonts w:hint="eastAsia" w:ascii="仿宋_GB2312" w:cs="SimSun-Identity-H"/>
          <w:color w:val="000000"/>
          <w:kern w:val="0"/>
          <w:sz w:val="24"/>
          <w:szCs w:val="24"/>
        </w:rPr>
      </w:pPr>
      <w:r>
        <w:rPr>
          <w:rFonts w:hint="eastAsia" w:ascii="仿宋_GB2312" w:cs="SimSun-Identity-H"/>
          <w:color w:val="000000"/>
          <w:kern w:val="0"/>
          <w:sz w:val="24"/>
          <w:szCs w:val="24"/>
        </w:rPr>
        <w:t>2、发生以上事故，造成1人受轻伤的，直接经济损失1千元（含1千元，以下同）以上1万元以下的，公司视为轻微事故；</w:t>
      </w:r>
    </w:p>
    <w:p w14:paraId="4E123EF0">
      <w:pPr>
        <w:pStyle w:val="3"/>
        <w:adjustRightInd w:val="0"/>
        <w:snapToGrid w:val="0"/>
        <w:spacing w:line="560" w:lineRule="exact"/>
        <w:rPr>
          <w:rFonts w:hint="eastAsia" w:ascii="仿宋_GB2312" w:cs="SimSun-Identity-H"/>
          <w:color w:val="000000"/>
          <w:kern w:val="0"/>
          <w:sz w:val="24"/>
          <w:szCs w:val="24"/>
        </w:rPr>
      </w:pPr>
      <w:r>
        <w:rPr>
          <w:rFonts w:hint="eastAsia" w:ascii="仿宋_GB2312" w:cs="SimSun-Identity-H"/>
          <w:color w:val="000000"/>
          <w:kern w:val="0"/>
          <w:sz w:val="24"/>
          <w:szCs w:val="24"/>
        </w:rPr>
        <w:t>3、发生以上事故，造成1人以上3人以下（含3人，以下同）受轻伤的，直接经济损失1万元以上3万元以下的，公司视为一般事故；</w:t>
      </w:r>
    </w:p>
    <w:p w14:paraId="252CD9F7">
      <w:pPr>
        <w:pStyle w:val="3"/>
        <w:adjustRightInd w:val="0"/>
        <w:snapToGrid w:val="0"/>
        <w:spacing w:line="560" w:lineRule="exact"/>
        <w:rPr>
          <w:rFonts w:hint="eastAsia" w:ascii="仿宋_GB2312" w:cs="SimSun-Identity-H"/>
          <w:color w:val="000000"/>
          <w:kern w:val="0"/>
          <w:sz w:val="24"/>
          <w:szCs w:val="24"/>
        </w:rPr>
      </w:pPr>
      <w:r>
        <w:rPr>
          <w:rFonts w:hint="eastAsia" w:ascii="仿宋_GB2312" w:cs="SimSun-Identity-H"/>
          <w:color w:val="000000"/>
          <w:kern w:val="0"/>
          <w:sz w:val="24"/>
          <w:szCs w:val="24"/>
        </w:rPr>
        <w:t>4、发生以上事故，造成3人以上5人以下受轻伤的，或1人</w:t>
      </w:r>
      <w:r>
        <w:rPr>
          <w:rFonts w:hint="eastAsia" w:ascii="仿宋_GB2312"/>
          <w:sz w:val="24"/>
          <w:szCs w:val="24"/>
        </w:rPr>
        <w:t>重伤</w:t>
      </w:r>
      <w:r>
        <w:rPr>
          <w:rFonts w:hint="eastAsia" w:ascii="仿宋_GB2312" w:cs="SimSun-Identity-H"/>
          <w:color w:val="000000"/>
          <w:kern w:val="0"/>
          <w:sz w:val="24"/>
          <w:szCs w:val="24"/>
        </w:rPr>
        <w:t>，直接经济损失3万元以上10万元以下的，公司视为较大事故；</w:t>
      </w:r>
    </w:p>
    <w:p w14:paraId="75E2E99C">
      <w:pPr>
        <w:pStyle w:val="3"/>
        <w:adjustRightInd w:val="0"/>
        <w:snapToGrid w:val="0"/>
        <w:spacing w:line="560" w:lineRule="exact"/>
        <w:rPr>
          <w:rFonts w:hint="eastAsia" w:ascii="仿宋_GB2312" w:cs="SimSun-Identity-H"/>
          <w:color w:val="000000"/>
          <w:kern w:val="0"/>
          <w:sz w:val="24"/>
          <w:szCs w:val="24"/>
        </w:rPr>
      </w:pPr>
      <w:r>
        <w:rPr>
          <w:rFonts w:hint="eastAsia" w:ascii="仿宋_GB2312" w:cs="SimSun-Identity-H"/>
          <w:color w:val="000000"/>
          <w:kern w:val="0"/>
          <w:sz w:val="24"/>
          <w:szCs w:val="24"/>
        </w:rPr>
        <w:t>5、发生以上事故，造成5人以上受轻伤的，或1人以上</w:t>
      </w:r>
      <w:r>
        <w:rPr>
          <w:rFonts w:hint="eastAsia" w:ascii="仿宋_GB2312"/>
          <w:sz w:val="24"/>
          <w:szCs w:val="24"/>
        </w:rPr>
        <w:t>重伤或死亡的</w:t>
      </w:r>
      <w:r>
        <w:rPr>
          <w:rFonts w:hint="eastAsia" w:ascii="仿宋_GB2312" w:cs="SimSun-Identity-H"/>
          <w:color w:val="000000"/>
          <w:kern w:val="0"/>
          <w:sz w:val="24"/>
          <w:szCs w:val="24"/>
        </w:rPr>
        <w:t>，直接经济损失10万元以上的，公司视为重大事故。</w:t>
      </w:r>
    </w:p>
    <w:p w14:paraId="2ADF4E41">
      <w:pPr>
        <w:pStyle w:val="3"/>
        <w:adjustRightInd w:val="0"/>
        <w:snapToGrid w:val="0"/>
        <w:spacing w:line="560" w:lineRule="exact"/>
        <w:ind w:firstLine="560" w:firstLineChars="200"/>
        <w:rPr>
          <w:rFonts w:hint="eastAsia" w:ascii="仿宋_GB2312" w:cs="SimSun-Identity-H"/>
          <w:color w:val="000000"/>
          <w:kern w:val="0"/>
          <w:szCs w:val="28"/>
        </w:rPr>
      </w:pPr>
    </w:p>
    <w:p w14:paraId="0FC8147D">
      <w:pPr>
        <w:pStyle w:val="3"/>
        <w:rPr>
          <w:rFonts w:hint="eastAsia" w:ascii="仿宋_GB2312" w:hAnsi="仿宋"/>
          <w:szCs w:val="28"/>
        </w:rPr>
      </w:pPr>
    </w:p>
    <w:p w14:paraId="20E3AE0D">
      <w:pPr>
        <w:pStyle w:val="3"/>
        <w:spacing w:line="560" w:lineRule="exact"/>
        <w:ind w:firstLine="560" w:firstLineChars="200"/>
        <w:rPr>
          <w:rFonts w:hint="eastAsia" w:ascii="仿宋_GB2312"/>
          <w:szCs w:val="28"/>
        </w:rPr>
        <w:sectPr>
          <w:headerReference r:id="rId3" w:type="default"/>
          <w:pgSz w:w="11906" w:h="16838"/>
          <w:pgMar w:top="1440" w:right="1800" w:bottom="1440" w:left="1800" w:header="851" w:footer="992" w:gutter="0"/>
          <w:cols w:space="425" w:num="1"/>
          <w:docGrid w:type="lines" w:linePitch="312" w:charSpace="0"/>
        </w:sectPr>
      </w:pPr>
    </w:p>
    <w:p w14:paraId="6EFBEFFF">
      <w:pPr>
        <w:pStyle w:val="3"/>
        <w:spacing w:line="560" w:lineRule="exact"/>
        <w:ind w:firstLine="560" w:firstLineChars="200"/>
        <w:rPr>
          <w:rFonts w:hint="eastAsia" w:ascii="仿宋_GB2312" w:hAnsi="仿宋"/>
          <w:szCs w:val="28"/>
        </w:rPr>
      </w:pPr>
      <w:r>
        <w:rPr>
          <w:rFonts w:hint="eastAsia" w:ascii="仿宋_GB2312"/>
          <w:szCs w:val="28"/>
        </w:rPr>
        <w:t>三、</w:t>
      </w:r>
      <w:r>
        <w:rPr>
          <w:rFonts w:hint="eastAsia" w:ascii="仿宋_GB2312" w:hAnsi="仿宋"/>
          <w:szCs w:val="28"/>
        </w:rPr>
        <w:t>分公司领导班子成员、分公司安全管理主管职能部门经理及相关工作人员减额比例</w:t>
      </w:r>
    </w:p>
    <w:tbl>
      <w:tblPr>
        <w:tblStyle w:val="6"/>
        <w:tblpPr w:leftFromText="180" w:rightFromText="180" w:vertAnchor="text" w:horzAnchor="margin" w:tblpY="66"/>
        <w:tblW w:w="14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1980"/>
        <w:gridCol w:w="1980"/>
        <w:gridCol w:w="2340"/>
        <w:gridCol w:w="2340"/>
        <w:gridCol w:w="1844"/>
      </w:tblGrid>
      <w:tr w14:paraId="4D7D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noWrap w:val="0"/>
            <w:vAlign w:val="top"/>
          </w:tcPr>
          <w:p w14:paraId="00975463">
            <w:pPr>
              <w:pStyle w:val="3"/>
              <w:rPr>
                <w:rFonts w:hint="eastAsia" w:ascii="仿宋_GB2312" w:hAnsi="仿宋"/>
                <w:sz w:val="24"/>
              </w:rPr>
            </w:pPr>
          </w:p>
        </w:tc>
        <w:tc>
          <w:tcPr>
            <w:tcW w:w="1980" w:type="dxa"/>
            <w:noWrap w:val="0"/>
            <w:vAlign w:val="center"/>
          </w:tcPr>
          <w:p w14:paraId="596F511A">
            <w:pPr>
              <w:pStyle w:val="3"/>
              <w:jc w:val="center"/>
              <w:rPr>
                <w:rFonts w:hint="eastAsia" w:ascii="仿宋_GB2312" w:hAnsi="仿宋"/>
                <w:sz w:val="24"/>
              </w:rPr>
            </w:pPr>
            <w:r>
              <w:rPr>
                <w:rFonts w:hint="eastAsia" w:ascii="仿宋_GB2312" w:hAnsi="仿宋"/>
                <w:sz w:val="24"/>
              </w:rPr>
              <w:t>分公司总经理</w:t>
            </w:r>
          </w:p>
        </w:tc>
        <w:tc>
          <w:tcPr>
            <w:tcW w:w="1980" w:type="dxa"/>
            <w:noWrap w:val="0"/>
            <w:vAlign w:val="center"/>
          </w:tcPr>
          <w:p w14:paraId="38D63454">
            <w:pPr>
              <w:pStyle w:val="3"/>
              <w:jc w:val="center"/>
              <w:rPr>
                <w:rFonts w:hint="eastAsia" w:ascii="仿宋_GB2312" w:hAnsi="仿宋"/>
                <w:sz w:val="24"/>
              </w:rPr>
            </w:pPr>
            <w:r>
              <w:rPr>
                <w:rFonts w:hint="eastAsia" w:ascii="仿宋_GB2312" w:hAnsi="仿宋"/>
                <w:sz w:val="24"/>
              </w:rPr>
              <w:t>分公司副总经理（分管安全）</w:t>
            </w:r>
          </w:p>
        </w:tc>
        <w:tc>
          <w:tcPr>
            <w:tcW w:w="2340" w:type="dxa"/>
            <w:noWrap w:val="0"/>
            <w:vAlign w:val="center"/>
          </w:tcPr>
          <w:p w14:paraId="3BFF52A1">
            <w:pPr>
              <w:pStyle w:val="3"/>
              <w:jc w:val="center"/>
              <w:rPr>
                <w:rFonts w:hint="eastAsia" w:ascii="仿宋_GB2312" w:hAnsi="仿宋"/>
                <w:sz w:val="24"/>
              </w:rPr>
            </w:pPr>
            <w:r>
              <w:rPr>
                <w:rFonts w:hint="eastAsia" w:ascii="仿宋_GB2312" w:hAnsi="仿宋"/>
                <w:sz w:val="24"/>
              </w:rPr>
              <w:t>分公司安全管理</w:t>
            </w:r>
          </w:p>
          <w:p w14:paraId="0922B663">
            <w:pPr>
              <w:pStyle w:val="3"/>
              <w:jc w:val="center"/>
              <w:rPr>
                <w:rFonts w:hint="eastAsia" w:ascii="仿宋_GB2312" w:hAnsi="仿宋"/>
                <w:sz w:val="24"/>
              </w:rPr>
            </w:pPr>
            <w:r>
              <w:rPr>
                <w:rFonts w:hint="eastAsia" w:ascii="仿宋_GB2312" w:hAnsi="仿宋"/>
                <w:sz w:val="24"/>
              </w:rPr>
              <w:t>主管职能部门经理</w:t>
            </w:r>
          </w:p>
        </w:tc>
        <w:tc>
          <w:tcPr>
            <w:tcW w:w="2340" w:type="dxa"/>
            <w:noWrap w:val="0"/>
            <w:vAlign w:val="center"/>
          </w:tcPr>
          <w:p w14:paraId="722872A3">
            <w:pPr>
              <w:pStyle w:val="3"/>
              <w:jc w:val="center"/>
              <w:rPr>
                <w:rFonts w:hint="eastAsia" w:ascii="仿宋_GB2312" w:hAnsi="仿宋"/>
                <w:sz w:val="24"/>
              </w:rPr>
            </w:pPr>
            <w:r>
              <w:rPr>
                <w:rFonts w:hint="eastAsia" w:ascii="仿宋_GB2312" w:hAnsi="仿宋"/>
                <w:sz w:val="24"/>
              </w:rPr>
              <w:t>分公司安全管理</w:t>
            </w:r>
          </w:p>
          <w:p w14:paraId="6608FAC4">
            <w:pPr>
              <w:pStyle w:val="3"/>
              <w:jc w:val="center"/>
              <w:rPr>
                <w:rFonts w:hint="eastAsia" w:ascii="仿宋_GB2312" w:hAnsi="仿宋"/>
                <w:sz w:val="24"/>
              </w:rPr>
            </w:pPr>
            <w:r>
              <w:rPr>
                <w:rFonts w:hint="eastAsia" w:ascii="仿宋_GB2312" w:hAnsi="仿宋"/>
                <w:sz w:val="24"/>
              </w:rPr>
              <w:t>部门相关工作人员</w:t>
            </w:r>
          </w:p>
        </w:tc>
        <w:tc>
          <w:tcPr>
            <w:tcW w:w="1844" w:type="dxa"/>
            <w:noWrap w:val="0"/>
            <w:vAlign w:val="center"/>
          </w:tcPr>
          <w:p w14:paraId="6386E987">
            <w:pPr>
              <w:pStyle w:val="3"/>
              <w:jc w:val="center"/>
              <w:rPr>
                <w:rFonts w:hint="eastAsia" w:ascii="仿宋_GB2312" w:hAnsi="仿宋"/>
                <w:sz w:val="24"/>
              </w:rPr>
            </w:pPr>
            <w:r>
              <w:rPr>
                <w:rFonts w:hint="eastAsia" w:ascii="仿宋_GB2312" w:hAnsi="仿宋"/>
                <w:sz w:val="24"/>
              </w:rPr>
              <w:t>备注</w:t>
            </w:r>
          </w:p>
        </w:tc>
      </w:tr>
      <w:tr w14:paraId="20E1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68" w:type="dxa"/>
            <w:noWrap w:val="0"/>
            <w:vAlign w:val="center"/>
          </w:tcPr>
          <w:p w14:paraId="3CB45076">
            <w:pPr>
              <w:pStyle w:val="3"/>
              <w:jc w:val="center"/>
              <w:rPr>
                <w:rFonts w:hint="eastAsia" w:ascii="仿宋_GB2312" w:hAnsi="仿宋"/>
                <w:sz w:val="24"/>
              </w:rPr>
            </w:pPr>
            <w:r>
              <w:rPr>
                <w:rFonts w:hint="eastAsia" w:ascii="仿宋_GB2312" w:hAnsi="仿宋"/>
                <w:sz w:val="24"/>
              </w:rPr>
              <w:t>发生一起事故</w:t>
            </w:r>
          </w:p>
        </w:tc>
        <w:tc>
          <w:tcPr>
            <w:tcW w:w="1980" w:type="dxa"/>
            <w:noWrap w:val="0"/>
            <w:vAlign w:val="center"/>
          </w:tcPr>
          <w:p w14:paraId="298DCCD6">
            <w:pPr>
              <w:pStyle w:val="3"/>
              <w:jc w:val="center"/>
              <w:rPr>
                <w:rFonts w:hint="eastAsia" w:ascii="仿宋_GB2312" w:hAnsi="仿宋"/>
                <w:sz w:val="24"/>
              </w:rPr>
            </w:pPr>
            <w:r>
              <w:rPr>
                <w:rFonts w:hint="eastAsia" w:ascii="仿宋_GB2312" w:hAnsi="仿宋"/>
                <w:sz w:val="24"/>
              </w:rPr>
              <w:t>减额30%</w:t>
            </w:r>
          </w:p>
        </w:tc>
        <w:tc>
          <w:tcPr>
            <w:tcW w:w="1980" w:type="dxa"/>
            <w:noWrap w:val="0"/>
            <w:vAlign w:val="center"/>
          </w:tcPr>
          <w:p w14:paraId="11C8C721">
            <w:pPr>
              <w:pStyle w:val="3"/>
              <w:jc w:val="center"/>
              <w:rPr>
                <w:rFonts w:hint="eastAsia" w:ascii="仿宋_GB2312" w:hAnsi="仿宋"/>
                <w:sz w:val="24"/>
              </w:rPr>
            </w:pPr>
            <w:r>
              <w:rPr>
                <w:rFonts w:hint="eastAsia" w:ascii="仿宋_GB2312" w:hAnsi="仿宋"/>
                <w:sz w:val="24"/>
              </w:rPr>
              <w:t>减额30%</w:t>
            </w:r>
          </w:p>
        </w:tc>
        <w:tc>
          <w:tcPr>
            <w:tcW w:w="2340" w:type="dxa"/>
            <w:noWrap w:val="0"/>
            <w:vAlign w:val="center"/>
          </w:tcPr>
          <w:p w14:paraId="4F9E0B93">
            <w:pPr>
              <w:pStyle w:val="3"/>
              <w:jc w:val="center"/>
              <w:rPr>
                <w:rFonts w:hint="eastAsia" w:ascii="仿宋_GB2312" w:hAnsi="仿宋"/>
                <w:sz w:val="24"/>
              </w:rPr>
            </w:pPr>
            <w:r>
              <w:rPr>
                <w:rFonts w:hint="eastAsia" w:ascii="仿宋_GB2312" w:hAnsi="仿宋"/>
                <w:sz w:val="24"/>
              </w:rPr>
              <w:t>减额30%</w:t>
            </w:r>
          </w:p>
        </w:tc>
        <w:tc>
          <w:tcPr>
            <w:tcW w:w="2340" w:type="dxa"/>
            <w:noWrap w:val="0"/>
            <w:vAlign w:val="center"/>
          </w:tcPr>
          <w:p w14:paraId="4774272D">
            <w:pPr>
              <w:pStyle w:val="3"/>
              <w:jc w:val="center"/>
              <w:rPr>
                <w:rFonts w:hint="eastAsia" w:ascii="仿宋_GB2312" w:hAnsi="仿宋"/>
                <w:sz w:val="24"/>
              </w:rPr>
            </w:pPr>
            <w:r>
              <w:rPr>
                <w:rFonts w:hint="eastAsia" w:ascii="仿宋_GB2312" w:hAnsi="仿宋"/>
                <w:sz w:val="24"/>
              </w:rPr>
              <w:t>减额30%</w:t>
            </w:r>
          </w:p>
        </w:tc>
        <w:tc>
          <w:tcPr>
            <w:tcW w:w="1844" w:type="dxa"/>
            <w:noWrap w:val="0"/>
            <w:vAlign w:val="center"/>
          </w:tcPr>
          <w:p w14:paraId="057760CE">
            <w:pPr>
              <w:pStyle w:val="3"/>
              <w:jc w:val="center"/>
              <w:rPr>
                <w:rFonts w:hint="eastAsia" w:ascii="仿宋_GB2312" w:hAnsi="仿宋"/>
                <w:sz w:val="24"/>
              </w:rPr>
            </w:pPr>
          </w:p>
        </w:tc>
      </w:tr>
      <w:tr w14:paraId="2945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68" w:type="dxa"/>
            <w:noWrap w:val="0"/>
            <w:vAlign w:val="center"/>
          </w:tcPr>
          <w:p w14:paraId="48885EBC">
            <w:pPr>
              <w:pStyle w:val="3"/>
              <w:jc w:val="center"/>
              <w:rPr>
                <w:rFonts w:hint="eastAsia" w:ascii="仿宋_GB2312" w:hAnsi="仿宋"/>
                <w:sz w:val="24"/>
              </w:rPr>
            </w:pPr>
            <w:r>
              <w:rPr>
                <w:rFonts w:hint="eastAsia" w:ascii="仿宋_GB2312" w:hAnsi="仿宋"/>
                <w:sz w:val="24"/>
              </w:rPr>
              <w:t>不同工程发生两起不同类型事故</w:t>
            </w:r>
          </w:p>
        </w:tc>
        <w:tc>
          <w:tcPr>
            <w:tcW w:w="1980" w:type="dxa"/>
            <w:noWrap w:val="0"/>
            <w:vAlign w:val="center"/>
          </w:tcPr>
          <w:p w14:paraId="47A187FE">
            <w:pPr>
              <w:pStyle w:val="3"/>
              <w:jc w:val="center"/>
              <w:rPr>
                <w:rFonts w:hint="eastAsia" w:ascii="仿宋_GB2312" w:hAnsi="仿宋"/>
                <w:sz w:val="24"/>
              </w:rPr>
            </w:pPr>
            <w:r>
              <w:rPr>
                <w:rFonts w:hint="eastAsia" w:ascii="仿宋_GB2312" w:hAnsi="仿宋"/>
                <w:sz w:val="24"/>
              </w:rPr>
              <w:t>减额60%</w:t>
            </w:r>
          </w:p>
        </w:tc>
        <w:tc>
          <w:tcPr>
            <w:tcW w:w="1980" w:type="dxa"/>
            <w:noWrap w:val="0"/>
            <w:vAlign w:val="center"/>
          </w:tcPr>
          <w:p w14:paraId="48DBFC8B">
            <w:pPr>
              <w:pStyle w:val="3"/>
              <w:jc w:val="center"/>
              <w:rPr>
                <w:rFonts w:hint="eastAsia" w:ascii="仿宋_GB2312" w:hAnsi="仿宋"/>
                <w:sz w:val="24"/>
              </w:rPr>
            </w:pPr>
            <w:r>
              <w:rPr>
                <w:rFonts w:hint="eastAsia" w:ascii="仿宋_GB2312" w:hAnsi="仿宋"/>
                <w:sz w:val="24"/>
              </w:rPr>
              <w:t>减额60%</w:t>
            </w:r>
          </w:p>
        </w:tc>
        <w:tc>
          <w:tcPr>
            <w:tcW w:w="2340" w:type="dxa"/>
            <w:noWrap w:val="0"/>
            <w:vAlign w:val="center"/>
          </w:tcPr>
          <w:p w14:paraId="0B6BC79D">
            <w:pPr>
              <w:pStyle w:val="3"/>
              <w:jc w:val="center"/>
              <w:rPr>
                <w:rFonts w:hint="eastAsia" w:ascii="仿宋_GB2312" w:hAnsi="仿宋"/>
                <w:sz w:val="24"/>
              </w:rPr>
            </w:pPr>
            <w:r>
              <w:rPr>
                <w:rFonts w:hint="eastAsia" w:ascii="仿宋_GB2312" w:hAnsi="仿宋"/>
                <w:sz w:val="24"/>
              </w:rPr>
              <w:t>减额60%</w:t>
            </w:r>
          </w:p>
        </w:tc>
        <w:tc>
          <w:tcPr>
            <w:tcW w:w="2340" w:type="dxa"/>
            <w:noWrap w:val="0"/>
            <w:vAlign w:val="center"/>
          </w:tcPr>
          <w:p w14:paraId="2377B32A">
            <w:pPr>
              <w:pStyle w:val="3"/>
              <w:jc w:val="center"/>
              <w:rPr>
                <w:rFonts w:hint="eastAsia" w:ascii="仿宋_GB2312" w:hAnsi="仿宋"/>
                <w:sz w:val="24"/>
              </w:rPr>
            </w:pPr>
            <w:r>
              <w:rPr>
                <w:rFonts w:hint="eastAsia" w:ascii="仿宋_GB2312" w:hAnsi="仿宋"/>
                <w:sz w:val="24"/>
              </w:rPr>
              <w:t>减额60%</w:t>
            </w:r>
          </w:p>
        </w:tc>
        <w:tc>
          <w:tcPr>
            <w:tcW w:w="1844" w:type="dxa"/>
            <w:noWrap w:val="0"/>
            <w:vAlign w:val="center"/>
          </w:tcPr>
          <w:p w14:paraId="31B407BA">
            <w:pPr>
              <w:pStyle w:val="3"/>
              <w:jc w:val="center"/>
              <w:rPr>
                <w:rFonts w:hint="eastAsia" w:ascii="仿宋_GB2312" w:hAnsi="仿宋"/>
                <w:sz w:val="24"/>
              </w:rPr>
            </w:pPr>
          </w:p>
        </w:tc>
      </w:tr>
      <w:tr w14:paraId="3FDF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68" w:type="dxa"/>
            <w:noWrap w:val="0"/>
            <w:vAlign w:val="center"/>
          </w:tcPr>
          <w:p w14:paraId="61D93ECE">
            <w:pPr>
              <w:pStyle w:val="3"/>
              <w:jc w:val="center"/>
              <w:rPr>
                <w:rFonts w:hint="eastAsia" w:ascii="仿宋_GB2312" w:hAnsi="仿宋"/>
                <w:sz w:val="24"/>
              </w:rPr>
            </w:pPr>
            <w:r>
              <w:rPr>
                <w:rFonts w:hint="eastAsia" w:ascii="仿宋_GB2312" w:hAnsi="仿宋"/>
                <w:sz w:val="24"/>
              </w:rPr>
              <w:t>同一工程发生两起不同类型事故</w:t>
            </w:r>
          </w:p>
        </w:tc>
        <w:tc>
          <w:tcPr>
            <w:tcW w:w="1980" w:type="dxa"/>
            <w:noWrap w:val="0"/>
            <w:vAlign w:val="center"/>
          </w:tcPr>
          <w:p w14:paraId="7B0D1D5E">
            <w:pPr>
              <w:pStyle w:val="3"/>
              <w:jc w:val="center"/>
              <w:rPr>
                <w:rFonts w:hint="eastAsia" w:ascii="仿宋_GB2312" w:hAnsi="仿宋"/>
                <w:sz w:val="24"/>
              </w:rPr>
            </w:pPr>
            <w:r>
              <w:rPr>
                <w:rFonts w:hint="eastAsia" w:ascii="仿宋_GB2312" w:hAnsi="仿宋"/>
                <w:sz w:val="24"/>
              </w:rPr>
              <w:t>减额80%</w:t>
            </w:r>
          </w:p>
        </w:tc>
        <w:tc>
          <w:tcPr>
            <w:tcW w:w="1980" w:type="dxa"/>
            <w:noWrap w:val="0"/>
            <w:vAlign w:val="center"/>
          </w:tcPr>
          <w:p w14:paraId="79242260">
            <w:pPr>
              <w:pStyle w:val="3"/>
              <w:jc w:val="center"/>
              <w:rPr>
                <w:rFonts w:hint="eastAsia" w:ascii="仿宋_GB2312" w:hAnsi="仿宋"/>
                <w:sz w:val="24"/>
              </w:rPr>
            </w:pPr>
            <w:r>
              <w:rPr>
                <w:rFonts w:hint="eastAsia" w:ascii="仿宋_GB2312" w:hAnsi="仿宋"/>
                <w:sz w:val="24"/>
              </w:rPr>
              <w:t>减额80%</w:t>
            </w:r>
          </w:p>
        </w:tc>
        <w:tc>
          <w:tcPr>
            <w:tcW w:w="2340" w:type="dxa"/>
            <w:noWrap w:val="0"/>
            <w:vAlign w:val="center"/>
          </w:tcPr>
          <w:p w14:paraId="3E95C310">
            <w:pPr>
              <w:pStyle w:val="3"/>
              <w:jc w:val="center"/>
              <w:rPr>
                <w:rFonts w:hint="eastAsia" w:ascii="仿宋_GB2312" w:hAnsi="仿宋"/>
                <w:sz w:val="24"/>
              </w:rPr>
            </w:pPr>
            <w:r>
              <w:rPr>
                <w:rFonts w:hint="eastAsia" w:ascii="仿宋_GB2312" w:hAnsi="仿宋"/>
                <w:sz w:val="24"/>
              </w:rPr>
              <w:t>减额80%</w:t>
            </w:r>
          </w:p>
        </w:tc>
        <w:tc>
          <w:tcPr>
            <w:tcW w:w="2340" w:type="dxa"/>
            <w:noWrap w:val="0"/>
            <w:vAlign w:val="center"/>
          </w:tcPr>
          <w:p w14:paraId="43E89C41">
            <w:pPr>
              <w:pStyle w:val="3"/>
              <w:jc w:val="center"/>
              <w:rPr>
                <w:rFonts w:hint="eastAsia" w:ascii="仿宋_GB2312" w:hAnsi="仿宋"/>
                <w:sz w:val="24"/>
              </w:rPr>
            </w:pPr>
            <w:r>
              <w:rPr>
                <w:rFonts w:hint="eastAsia" w:ascii="仿宋_GB2312" w:hAnsi="仿宋"/>
                <w:sz w:val="24"/>
              </w:rPr>
              <w:t>减额80%</w:t>
            </w:r>
          </w:p>
        </w:tc>
        <w:tc>
          <w:tcPr>
            <w:tcW w:w="1844" w:type="dxa"/>
            <w:noWrap w:val="0"/>
            <w:vAlign w:val="center"/>
          </w:tcPr>
          <w:p w14:paraId="0E61A427">
            <w:pPr>
              <w:pStyle w:val="3"/>
              <w:jc w:val="center"/>
              <w:rPr>
                <w:rFonts w:hint="eastAsia" w:ascii="仿宋_GB2312" w:hAnsi="仿宋"/>
                <w:sz w:val="24"/>
              </w:rPr>
            </w:pPr>
            <w:r>
              <w:rPr>
                <w:rFonts w:hint="eastAsia" w:ascii="仿宋_GB2312" w:hAnsi="仿宋"/>
                <w:sz w:val="24"/>
              </w:rPr>
              <w:t>公司安委会</w:t>
            </w:r>
          </w:p>
          <w:p w14:paraId="66A6EDF2">
            <w:pPr>
              <w:pStyle w:val="3"/>
              <w:jc w:val="center"/>
              <w:rPr>
                <w:rFonts w:hint="eastAsia" w:ascii="仿宋_GB2312" w:hAnsi="仿宋"/>
                <w:sz w:val="24"/>
              </w:rPr>
            </w:pPr>
            <w:r>
              <w:rPr>
                <w:rFonts w:hint="eastAsia" w:ascii="仿宋_GB2312" w:hAnsi="仿宋"/>
                <w:sz w:val="24"/>
              </w:rPr>
              <w:t>可追加处罚</w:t>
            </w:r>
          </w:p>
        </w:tc>
      </w:tr>
      <w:tr w14:paraId="123C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68" w:type="dxa"/>
            <w:noWrap w:val="0"/>
            <w:vAlign w:val="center"/>
          </w:tcPr>
          <w:p w14:paraId="1DEFDEA8">
            <w:pPr>
              <w:pStyle w:val="3"/>
              <w:jc w:val="center"/>
              <w:rPr>
                <w:rFonts w:hint="eastAsia" w:ascii="仿宋_GB2312" w:hAnsi="仿宋"/>
                <w:sz w:val="24"/>
              </w:rPr>
            </w:pPr>
            <w:r>
              <w:rPr>
                <w:rFonts w:hint="eastAsia" w:ascii="仿宋_GB2312" w:hAnsi="仿宋"/>
                <w:sz w:val="24"/>
              </w:rPr>
              <w:t>不同工程发生两起以上不同类型事故</w:t>
            </w:r>
          </w:p>
        </w:tc>
        <w:tc>
          <w:tcPr>
            <w:tcW w:w="1980" w:type="dxa"/>
            <w:noWrap w:val="0"/>
            <w:vAlign w:val="center"/>
          </w:tcPr>
          <w:p w14:paraId="4E4240E0">
            <w:pPr>
              <w:pStyle w:val="3"/>
              <w:jc w:val="center"/>
              <w:rPr>
                <w:rFonts w:hint="eastAsia" w:ascii="仿宋_GB2312" w:hAnsi="仿宋"/>
                <w:sz w:val="24"/>
              </w:rPr>
            </w:pPr>
            <w:r>
              <w:rPr>
                <w:rFonts w:hint="eastAsia" w:ascii="仿宋_GB2312" w:hAnsi="仿宋"/>
                <w:sz w:val="24"/>
              </w:rPr>
              <w:t>减额100%</w:t>
            </w:r>
          </w:p>
        </w:tc>
        <w:tc>
          <w:tcPr>
            <w:tcW w:w="1980" w:type="dxa"/>
            <w:noWrap w:val="0"/>
            <w:vAlign w:val="center"/>
          </w:tcPr>
          <w:p w14:paraId="11F4F166">
            <w:pPr>
              <w:pStyle w:val="3"/>
              <w:jc w:val="center"/>
              <w:rPr>
                <w:rFonts w:hint="eastAsia" w:ascii="仿宋_GB2312" w:hAnsi="仿宋"/>
                <w:sz w:val="24"/>
              </w:rPr>
            </w:pPr>
            <w:r>
              <w:rPr>
                <w:rFonts w:hint="eastAsia" w:ascii="仿宋_GB2312" w:hAnsi="仿宋"/>
                <w:sz w:val="24"/>
              </w:rPr>
              <w:t>减额100%</w:t>
            </w:r>
          </w:p>
        </w:tc>
        <w:tc>
          <w:tcPr>
            <w:tcW w:w="2340" w:type="dxa"/>
            <w:noWrap w:val="0"/>
            <w:vAlign w:val="center"/>
          </w:tcPr>
          <w:p w14:paraId="798DF87C">
            <w:pPr>
              <w:pStyle w:val="3"/>
              <w:jc w:val="center"/>
              <w:rPr>
                <w:rFonts w:hint="eastAsia" w:ascii="仿宋_GB2312" w:hAnsi="仿宋"/>
                <w:sz w:val="24"/>
              </w:rPr>
            </w:pPr>
            <w:r>
              <w:rPr>
                <w:rFonts w:hint="eastAsia" w:ascii="仿宋_GB2312" w:hAnsi="仿宋"/>
                <w:sz w:val="24"/>
              </w:rPr>
              <w:t>减额100%</w:t>
            </w:r>
          </w:p>
        </w:tc>
        <w:tc>
          <w:tcPr>
            <w:tcW w:w="2340" w:type="dxa"/>
            <w:noWrap w:val="0"/>
            <w:vAlign w:val="center"/>
          </w:tcPr>
          <w:p w14:paraId="0A376489">
            <w:pPr>
              <w:pStyle w:val="3"/>
              <w:jc w:val="center"/>
              <w:rPr>
                <w:rFonts w:hint="eastAsia" w:ascii="仿宋_GB2312" w:hAnsi="仿宋"/>
                <w:sz w:val="24"/>
              </w:rPr>
            </w:pPr>
            <w:r>
              <w:rPr>
                <w:rFonts w:hint="eastAsia" w:ascii="仿宋_GB2312" w:hAnsi="仿宋"/>
                <w:sz w:val="24"/>
              </w:rPr>
              <w:t>减额100%</w:t>
            </w:r>
          </w:p>
        </w:tc>
        <w:tc>
          <w:tcPr>
            <w:tcW w:w="1844" w:type="dxa"/>
            <w:noWrap w:val="0"/>
            <w:vAlign w:val="center"/>
          </w:tcPr>
          <w:p w14:paraId="339A6608">
            <w:pPr>
              <w:pStyle w:val="3"/>
              <w:jc w:val="center"/>
              <w:rPr>
                <w:rFonts w:hint="eastAsia" w:ascii="仿宋_GB2312" w:hAnsi="仿宋"/>
                <w:sz w:val="24"/>
              </w:rPr>
            </w:pPr>
            <w:r>
              <w:rPr>
                <w:rFonts w:hint="eastAsia" w:ascii="仿宋_GB2312" w:hAnsi="仿宋"/>
                <w:sz w:val="24"/>
              </w:rPr>
              <w:t>公司安委会</w:t>
            </w:r>
          </w:p>
          <w:p w14:paraId="25F46766">
            <w:pPr>
              <w:pStyle w:val="3"/>
              <w:jc w:val="center"/>
              <w:rPr>
                <w:rFonts w:hint="eastAsia" w:ascii="仿宋_GB2312" w:hAnsi="仿宋"/>
                <w:sz w:val="24"/>
              </w:rPr>
            </w:pPr>
            <w:r>
              <w:rPr>
                <w:rFonts w:hint="eastAsia" w:ascii="仿宋_GB2312" w:hAnsi="仿宋"/>
                <w:sz w:val="24"/>
              </w:rPr>
              <w:t>可追加处罚</w:t>
            </w:r>
          </w:p>
        </w:tc>
      </w:tr>
      <w:tr w14:paraId="21C9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68" w:type="dxa"/>
            <w:noWrap w:val="0"/>
            <w:vAlign w:val="center"/>
          </w:tcPr>
          <w:p w14:paraId="7F713EED">
            <w:pPr>
              <w:pStyle w:val="3"/>
              <w:jc w:val="center"/>
              <w:rPr>
                <w:rFonts w:hint="eastAsia" w:ascii="仿宋_GB2312" w:hAnsi="仿宋"/>
                <w:sz w:val="24"/>
              </w:rPr>
            </w:pPr>
            <w:r>
              <w:rPr>
                <w:rFonts w:hint="eastAsia" w:ascii="仿宋_GB2312" w:hAnsi="仿宋"/>
                <w:sz w:val="24"/>
              </w:rPr>
              <w:t>不同工程发生</w:t>
            </w:r>
          </w:p>
          <w:p w14:paraId="3DFEBA38">
            <w:pPr>
              <w:pStyle w:val="3"/>
              <w:jc w:val="center"/>
              <w:rPr>
                <w:rFonts w:hint="eastAsia" w:ascii="仿宋_GB2312" w:hAnsi="仿宋"/>
                <w:sz w:val="24"/>
              </w:rPr>
            </w:pPr>
            <w:r>
              <w:rPr>
                <w:rFonts w:hint="eastAsia" w:ascii="仿宋_GB2312" w:hAnsi="仿宋"/>
                <w:sz w:val="24"/>
              </w:rPr>
              <w:t>两起及以上同类型事故</w:t>
            </w:r>
          </w:p>
        </w:tc>
        <w:tc>
          <w:tcPr>
            <w:tcW w:w="1980" w:type="dxa"/>
            <w:noWrap w:val="0"/>
            <w:vAlign w:val="center"/>
          </w:tcPr>
          <w:p w14:paraId="1A671BC0">
            <w:pPr>
              <w:pStyle w:val="3"/>
              <w:jc w:val="center"/>
              <w:rPr>
                <w:rFonts w:hint="eastAsia" w:ascii="仿宋_GB2312" w:hAnsi="仿宋"/>
                <w:sz w:val="24"/>
              </w:rPr>
            </w:pPr>
            <w:r>
              <w:rPr>
                <w:rFonts w:hint="eastAsia" w:ascii="仿宋_GB2312" w:hAnsi="仿宋"/>
                <w:sz w:val="24"/>
              </w:rPr>
              <w:t>减额100%</w:t>
            </w:r>
          </w:p>
        </w:tc>
        <w:tc>
          <w:tcPr>
            <w:tcW w:w="1980" w:type="dxa"/>
            <w:noWrap w:val="0"/>
            <w:vAlign w:val="center"/>
          </w:tcPr>
          <w:p w14:paraId="2C4ECE99">
            <w:pPr>
              <w:pStyle w:val="3"/>
              <w:jc w:val="center"/>
              <w:rPr>
                <w:rFonts w:hint="eastAsia" w:ascii="仿宋_GB2312" w:hAnsi="仿宋"/>
                <w:sz w:val="24"/>
              </w:rPr>
            </w:pPr>
            <w:r>
              <w:rPr>
                <w:rFonts w:hint="eastAsia" w:ascii="仿宋_GB2312" w:hAnsi="仿宋"/>
                <w:sz w:val="24"/>
              </w:rPr>
              <w:t>减额100%</w:t>
            </w:r>
          </w:p>
        </w:tc>
        <w:tc>
          <w:tcPr>
            <w:tcW w:w="2340" w:type="dxa"/>
            <w:noWrap w:val="0"/>
            <w:vAlign w:val="center"/>
          </w:tcPr>
          <w:p w14:paraId="4B150BBA">
            <w:pPr>
              <w:pStyle w:val="3"/>
              <w:jc w:val="center"/>
              <w:rPr>
                <w:rFonts w:hint="eastAsia" w:ascii="仿宋_GB2312" w:hAnsi="仿宋"/>
                <w:sz w:val="24"/>
              </w:rPr>
            </w:pPr>
            <w:r>
              <w:rPr>
                <w:rFonts w:hint="eastAsia" w:ascii="仿宋_GB2312" w:hAnsi="仿宋"/>
                <w:sz w:val="24"/>
              </w:rPr>
              <w:t>减额100%</w:t>
            </w:r>
          </w:p>
        </w:tc>
        <w:tc>
          <w:tcPr>
            <w:tcW w:w="2340" w:type="dxa"/>
            <w:noWrap w:val="0"/>
            <w:vAlign w:val="center"/>
          </w:tcPr>
          <w:p w14:paraId="78485C94">
            <w:pPr>
              <w:pStyle w:val="3"/>
              <w:jc w:val="center"/>
              <w:rPr>
                <w:rFonts w:hint="eastAsia" w:ascii="仿宋_GB2312" w:hAnsi="仿宋"/>
                <w:sz w:val="24"/>
              </w:rPr>
            </w:pPr>
            <w:r>
              <w:rPr>
                <w:rFonts w:hint="eastAsia" w:ascii="仿宋_GB2312" w:hAnsi="仿宋"/>
                <w:sz w:val="24"/>
              </w:rPr>
              <w:t>减额100%</w:t>
            </w:r>
          </w:p>
        </w:tc>
        <w:tc>
          <w:tcPr>
            <w:tcW w:w="1844" w:type="dxa"/>
            <w:noWrap w:val="0"/>
            <w:vAlign w:val="center"/>
          </w:tcPr>
          <w:p w14:paraId="7F219985">
            <w:pPr>
              <w:pStyle w:val="3"/>
              <w:jc w:val="center"/>
              <w:rPr>
                <w:rFonts w:hint="eastAsia" w:ascii="仿宋_GB2312" w:hAnsi="仿宋"/>
                <w:sz w:val="24"/>
              </w:rPr>
            </w:pPr>
            <w:r>
              <w:rPr>
                <w:rFonts w:hint="eastAsia" w:ascii="仿宋_GB2312" w:hAnsi="仿宋"/>
                <w:sz w:val="24"/>
              </w:rPr>
              <w:t>公司安委会</w:t>
            </w:r>
          </w:p>
          <w:p w14:paraId="7143ED43">
            <w:pPr>
              <w:pStyle w:val="3"/>
              <w:jc w:val="center"/>
              <w:rPr>
                <w:rFonts w:hint="eastAsia" w:ascii="仿宋_GB2312" w:hAnsi="仿宋"/>
                <w:sz w:val="24"/>
              </w:rPr>
            </w:pPr>
            <w:r>
              <w:rPr>
                <w:rFonts w:hint="eastAsia" w:ascii="仿宋_GB2312" w:hAnsi="仿宋"/>
                <w:sz w:val="24"/>
              </w:rPr>
              <w:t>可追加处罚</w:t>
            </w:r>
          </w:p>
        </w:tc>
      </w:tr>
      <w:tr w14:paraId="3909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68" w:type="dxa"/>
            <w:noWrap w:val="0"/>
            <w:vAlign w:val="center"/>
          </w:tcPr>
          <w:p w14:paraId="6BA09E79">
            <w:pPr>
              <w:pStyle w:val="3"/>
              <w:jc w:val="center"/>
              <w:rPr>
                <w:rFonts w:hint="eastAsia" w:ascii="仿宋_GB2312" w:hAnsi="仿宋"/>
                <w:sz w:val="24"/>
              </w:rPr>
            </w:pPr>
            <w:r>
              <w:rPr>
                <w:rFonts w:hint="eastAsia" w:ascii="仿宋_GB2312" w:hAnsi="仿宋"/>
                <w:sz w:val="24"/>
              </w:rPr>
              <w:t>同一工程发生两起以上同类型事故</w:t>
            </w:r>
          </w:p>
        </w:tc>
        <w:tc>
          <w:tcPr>
            <w:tcW w:w="1980" w:type="dxa"/>
            <w:noWrap w:val="0"/>
            <w:vAlign w:val="center"/>
          </w:tcPr>
          <w:p w14:paraId="6B079FE5">
            <w:pPr>
              <w:pStyle w:val="3"/>
              <w:jc w:val="center"/>
              <w:rPr>
                <w:rFonts w:hint="eastAsia" w:ascii="仿宋_GB2312" w:hAnsi="仿宋"/>
                <w:sz w:val="24"/>
              </w:rPr>
            </w:pPr>
            <w:r>
              <w:rPr>
                <w:rFonts w:hint="eastAsia" w:ascii="仿宋_GB2312" w:hAnsi="仿宋"/>
                <w:sz w:val="24"/>
              </w:rPr>
              <w:t>减额100%</w:t>
            </w:r>
          </w:p>
        </w:tc>
        <w:tc>
          <w:tcPr>
            <w:tcW w:w="1980" w:type="dxa"/>
            <w:noWrap w:val="0"/>
            <w:vAlign w:val="center"/>
          </w:tcPr>
          <w:p w14:paraId="5D93018F">
            <w:pPr>
              <w:pStyle w:val="3"/>
              <w:jc w:val="center"/>
              <w:rPr>
                <w:rFonts w:hint="eastAsia" w:ascii="仿宋_GB2312" w:hAnsi="仿宋"/>
                <w:sz w:val="24"/>
              </w:rPr>
            </w:pPr>
            <w:r>
              <w:rPr>
                <w:rFonts w:hint="eastAsia" w:ascii="仿宋_GB2312" w:hAnsi="仿宋"/>
                <w:sz w:val="24"/>
              </w:rPr>
              <w:t>减额100%</w:t>
            </w:r>
          </w:p>
        </w:tc>
        <w:tc>
          <w:tcPr>
            <w:tcW w:w="2340" w:type="dxa"/>
            <w:noWrap w:val="0"/>
            <w:vAlign w:val="center"/>
          </w:tcPr>
          <w:p w14:paraId="79E43EC2">
            <w:pPr>
              <w:pStyle w:val="3"/>
              <w:jc w:val="center"/>
              <w:rPr>
                <w:rFonts w:hint="eastAsia" w:ascii="仿宋_GB2312" w:hAnsi="仿宋"/>
                <w:sz w:val="24"/>
              </w:rPr>
            </w:pPr>
            <w:r>
              <w:rPr>
                <w:rFonts w:hint="eastAsia" w:ascii="仿宋_GB2312" w:hAnsi="仿宋"/>
                <w:sz w:val="24"/>
              </w:rPr>
              <w:t>减额100%</w:t>
            </w:r>
          </w:p>
        </w:tc>
        <w:tc>
          <w:tcPr>
            <w:tcW w:w="2340" w:type="dxa"/>
            <w:noWrap w:val="0"/>
            <w:vAlign w:val="center"/>
          </w:tcPr>
          <w:p w14:paraId="620A2677">
            <w:pPr>
              <w:pStyle w:val="3"/>
              <w:jc w:val="center"/>
              <w:rPr>
                <w:rFonts w:hint="eastAsia" w:ascii="仿宋_GB2312" w:hAnsi="仿宋"/>
                <w:sz w:val="24"/>
              </w:rPr>
            </w:pPr>
            <w:r>
              <w:rPr>
                <w:rFonts w:hint="eastAsia" w:ascii="仿宋_GB2312" w:hAnsi="仿宋"/>
                <w:sz w:val="24"/>
              </w:rPr>
              <w:t>减额100%</w:t>
            </w:r>
          </w:p>
        </w:tc>
        <w:tc>
          <w:tcPr>
            <w:tcW w:w="1844" w:type="dxa"/>
            <w:noWrap w:val="0"/>
            <w:vAlign w:val="center"/>
          </w:tcPr>
          <w:p w14:paraId="4F913457">
            <w:pPr>
              <w:pStyle w:val="3"/>
              <w:jc w:val="center"/>
              <w:rPr>
                <w:rFonts w:hint="eastAsia" w:ascii="仿宋_GB2312" w:hAnsi="仿宋"/>
                <w:sz w:val="24"/>
              </w:rPr>
            </w:pPr>
            <w:r>
              <w:rPr>
                <w:rFonts w:hint="eastAsia" w:ascii="仿宋_GB2312" w:hAnsi="仿宋"/>
                <w:sz w:val="24"/>
              </w:rPr>
              <w:t>公司安委会</w:t>
            </w:r>
          </w:p>
          <w:p w14:paraId="619853E6">
            <w:pPr>
              <w:pStyle w:val="3"/>
              <w:jc w:val="center"/>
              <w:rPr>
                <w:rFonts w:hint="eastAsia" w:ascii="仿宋_GB2312" w:hAnsi="仿宋"/>
                <w:sz w:val="24"/>
              </w:rPr>
            </w:pPr>
            <w:r>
              <w:rPr>
                <w:rFonts w:hint="eastAsia" w:ascii="仿宋_GB2312" w:hAnsi="仿宋"/>
                <w:sz w:val="24"/>
              </w:rPr>
              <w:t>可追加处罚</w:t>
            </w:r>
          </w:p>
        </w:tc>
      </w:tr>
    </w:tbl>
    <w:p w14:paraId="2EE248E6">
      <w:pPr>
        <w:pStyle w:val="3"/>
        <w:spacing w:line="560" w:lineRule="exact"/>
        <w:ind w:firstLine="560" w:firstLineChars="200"/>
        <w:rPr>
          <w:rFonts w:hint="eastAsia" w:ascii="仿宋_GB2312" w:hAnsi="仿宋"/>
          <w:szCs w:val="28"/>
        </w:rPr>
      </w:pPr>
    </w:p>
    <w:p w14:paraId="7A4C523D">
      <w:pPr>
        <w:pStyle w:val="3"/>
        <w:spacing w:line="560" w:lineRule="exact"/>
        <w:ind w:firstLine="560" w:firstLineChars="200"/>
        <w:rPr>
          <w:rFonts w:hint="eastAsia" w:ascii="仿宋_GB2312" w:hAnsi="仿宋"/>
        </w:rPr>
      </w:pPr>
    </w:p>
    <w:p w14:paraId="70E4B5E5">
      <w:pPr>
        <w:pStyle w:val="3"/>
        <w:rPr>
          <w:rFonts w:hint="eastAsia" w:ascii="仿宋_GB2312" w:hAnsi="华文宋体" w:cs="宋体"/>
          <w:color w:val="000000"/>
          <w:kern w:val="0"/>
          <w:szCs w:val="28"/>
        </w:rPr>
      </w:pPr>
    </w:p>
    <w:p w14:paraId="502FCE0E">
      <w:pPr>
        <w:pStyle w:val="3"/>
        <w:rPr>
          <w:rFonts w:hint="eastAsia" w:ascii="仿宋_GB2312" w:hAnsi="华文宋体" w:cs="宋体"/>
          <w:color w:val="000000"/>
          <w:kern w:val="0"/>
          <w:szCs w:val="28"/>
        </w:rPr>
      </w:pPr>
    </w:p>
    <w:p w14:paraId="6CE9973F">
      <w:pPr>
        <w:pStyle w:val="3"/>
        <w:rPr>
          <w:rFonts w:hint="eastAsia" w:ascii="仿宋_GB2312" w:hAnsi="华文宋体" w:cs="宋体"/>
          <w:color w:val="000000"/>
          <w:kern w:val="0"/>
          <w:szCs w:val="28"/>
        </w:rPr>
      </w:pPr>
    </w:p>
    <w:p w14:paraId="24A81698">
      <w:pPr>
        <w:pStyle w:val="3"/>
        <w:ind w:firstLine="560" w:firstLineChars="200"/>
        <w:rPr>
          <w:rFonts w:hint="eastAsia" w:ascii="仿宋_GB2312"/>
          <w:szCs w:val="28"/>
        </w:rPr>
      </w:pPr>
      <w:r>
        <w:rPr>
          <w:rFonts w:hint="eastAsia" w:ascii="仿宋_GB2312" w:hAnsi="华文宋体" w:cs="宋体"/>
          <w:color w:val="000000"/>
          <w:kern w:val="0"/>
          <w:szCs w:val="28"/>
        </w:rPr>
        <w:t>四、</w:t>
      </w:r>
      <w:r>
        <w:rPr>
          <w:rFonts w:hint="eastAsia" w:ascii="仿宋_GB2312"/>
          <w:szCs w:val="28"/>
        </w:rPr>
        <w:t>安全生产管理工作考评表</w:t>
      </w:r>
    </w:p>
    <w:tbl>
      <w:tblPr>
        <w:tblStyle w:val="6"/>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231"/>
        <w:gridCol w:w="576"/>
        <w:gridCol w:w="7000"/>
        <w:gridCol w:w="2513"/>
        <w:gridCol w:w="540"/>
      </w:tblGrid>
      <w:tr w14:paraId="5787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8" w:type="dxa"/>
            <w:noWrap w:val="0"/>
            <w:vAlign w:val="center"/>
          </w:tcPr>
          <w:p w14:paraId="385BEAA4">
            <w:pPr>
              <w:pStyle w:val="3"/>
              <w:jc w:val="center"/>
              <w:rPr>
                <w:rFonts w:hint="eastAsia" w:ascii="仿宋_GB2312"/>
                <w:b/>
                <w:sz w:val="24"/>
                <w:szCs w:val="24"/>
              </w:rPr>
            </w:pPr>
            <w:r>
              <w:rPr>
                <w:rFonts w:hint="eastAsia" w:ascii="仿宋_GB2312"/>
                <w:b/>
                <w:sz w:val="24"/>
                <w:szCs w:val="24"/>
              </w:rPr>
              <w:t>序号</w:t>
            </w:r>
          </w:p>
        </w:tc>
        <w:tc>
          <w:tcPr>
            <w:tcW w:w="3240" w:type="dxa"/>
            <w:noWrap w:val="0"/>
            <w:vAlign w:val="center"/>
          </w:tcPr>
          <w:p w14:paraId="411859EC">
            <w:pPr>
              <w:pStyle w:val="3"/>
              <w:jc w:val="center"/>
              <w:rPr>
                <w:rFonts w:hint="eastAsia" w:ascii="仿宋_GB2312"/>
                <w:b/>
                <w:sz w:val="24"/>
                <w:szCs w:val="24"/>
              </w:rPr>
            </w:pPr>
            <w:r>
              <w:rPr>
                <w:rFonts w:hint="eastAsia" w:ascii="仿宋_GB2312"/>
                <w:b/>
                <w:sz w:val="24"/>
                <w:szCs w:val="24"/>
              </w:rPr>
              <w:t>考评内容</w:t>
            </w:r>
          </w:p>
        </w:tc>
        <w:tc>
          <w:tcPr>
            <w:tcW w:w="540" w:type="dxa"/>
            <w:noWrap w:val="0"/>
            <w:vAlign w:val="center"/>
          </w:tcPr>
          <w:p w14:paraId="625C1385">
            <w:pPr>
              <w:pStyle w:val="3"/>
              <w:jc w:val="center"/>
              <w:rPr>
                <w:rFonts w:hint="eastAsia" w:ascii="仿宋_GB2312"/>
                <w:b/>
                <w:sz w:val="24"/>
                <w:szCs w:val="24"/>
              </w:rPr>
            </w:pPr>
            <w:r>
              <w:rPr>
                <w:rFonts w:hint="eastAsia" w:ascii="仿宋_GB2312"/>
                <w:b/>
                <w:sz w:val="24"/>
                <w:szCs w:val="24"/>
              </w:rPr>
              <w:t>分值</w:t>
            </w:r>
          </w:p>
        </w:tc>
        <w:tc>
          <w:tcPr>
            <w:tcW w:w="7020" w:type="dxa"/>
            <w:noWrap w:val="0"/>
            <w:vAlign w:val="center"/>
          </w:tcPr>
          <w:p w14:paraId="49D26E86">
            <w:pPr>
              <w:pStyle w:val="3"/>
              <w:jc w:val="center"/>
              <w:rPr>
                <w:rFonts w:hint="eastAsia" w:ascii="仿宋_GB2312"/>
                <w:b/>
                <w:sz w:val="24"/>
                <w:szCs w:val="24"/>
              </w:rPr>
            </w:pPr>
            <w:r>
              <w:rPr>
                <w:rFonts w:hint="eastAsia" w:ascii="仿宋_GB2312"/>
                <w:b/>
                <w:sz w:val="24"/>
                <w:szCs w:val="24"/>
              </w:rPr>
              <w:t>存在的重点问题</w:t>
            </w:r>
          </w:p>
        </w:tc>
        <w:tc>
          <w:tcPr>
            <w:tcW w:w="2520" w:type="dxa"/>
            <w:noWrap w:val="0"/>
            <w:vAlign w:val="center"/>
          </w:tcPr>
          <w:p w14:paraId="3AE2E00F">
            <w:pPr>
              <w:pStyle w:val="3"/>
              <w:jc w:val="center"/>
              <w:rPr>
                <w:rFonts w:hint="eastAsia" w:ascii="仿宋_GB2312"/>
                <w:b/>
                <w:sz w:val="24"/>
                <w:szCs w:val="24"/>
              </w:rPr>
            </w:pPr>
            <w:r>
              <w:rPr>
                <w:rFonts w:hint="eastAsia" w:ascii="仿宋_GB2312"/>
                <w:b/>
                <w:sz w:val="24"/>
                <w:szCs w:val="24"/>
              </w:rPr>
              <w:t>存在的其他问题</w:t>
            </w:r>
          </w:p>
        </w:tc>
        <w:tc>
          <w:tcPr>
            <w:tcW w:w="540" w:type="dxa"/>
            <w:noWrap w:val="0"/>
            <w:vAlign w:val="center"/>
          </w:tcPr>
          <w:p w14:paraId="1C6CA1BE">
            <w:pPr>
              <w:pStyle w:val="3"/>
              <w:jc w:val="center"/>
              <w:rPr>
                <w:rFonts w:hint="eastAsia" w:ascii="仿宋_GB2312"/>
                <w:b/>
                <w:sz w:val="24"/>
                <w:szCs w:val="24"/>
              </w:rPr>
            </w:pPr>
            <w:r>
              <w:rPr>
                <w:rFonts w:hint="eastAsia" w:ascii="仿宋_GB2312"/>
                <w:b/>
                <w:sz w:val="24"/>
                <w:szCs w:val="24"/>
              </w:rPr>
              <w:t>扣分</w:t>
            </w:r>
          </w:p>
        </w:tc>
      </w:tr>
      <w:tr w14:paraId="76E1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D39ADF9">
            <w:pPr>
              <w:pStyle w:val="3"/>
              <w:jc w:val="center"/>
              <w:rPr>
                <w:rFonts w:hint="eastAsia" w:ascii="仿宋_GB2312"/>
                <w:sz w:val="24"/>
                <w:szCs w:val="24"/>
              </w:rPr>
            </w:pPr>
            <w:r>
              <w:rPr>
                <w:rFonts w:hint="eastAsia" w:ascii="仿宋_GB2312"/>
                <w:sz w:val="24"/>
                <w:szCs w:val="24"/>
              </w:rPr>
              <w:t>1</w:t>
            </w:r>
          </w:p>
        </w:tc>
        <w:tc>
          <w:tcPr>
            <w:tcW w:w="3240" w:type="dxa"/>
            <w:noWrap w:val="0"/>
            <w:vAlign w:val="center"/>
          </w:tcPr>
          <w:p w14:paraId="73631DCC">
            <w:pPr>
              <w:pStyle w:val="3"/>
              <w:rPr>
                <w:rFonts w:hint="eastAsia" w:ascii="仿宋_GB2312"/>
                <w:sz w:val="24"/>
                <w:szCs w:val="24"/>
              </w:rPr>
            </w:pPr>
            <w:r>
              <w:rPr>
                <w:rFonts w:hint="eastAsia" w:ascii="仿宋_GB2312"/>
                <w:sz w:val="24"/>
                <w:szCs w:val="24"/>
              </w:rPr>
              <w:t>安全管理体系建立情况</w:t>
            </w:r>
          </w:p>
        </w:tc>
        <w:tc>
          <w:tcPr>
            <w:tcW w:w="540" w:type="dxa"/>
            <w:noWrap w:val="0"/>
            <w:vAlign w:val="center"/>
          </w:tcPr>
          <w:p w14:paraId="634B220F">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0F63CC15">
            <w:pPr>
              <w:pStyle w:val="3"/>
              <w:rPr>
                <w:rFonts w:hint="eastAsia" w:ascii="仿宋_GB2312"/>
                <w:sz w:val="24"/>
                <w:szCs w:val="24"/>
              </w:rPr>
            </w:pPr>
            <w:r>
              <w:rPr>
                <w:rFonts w:hint="eastAsia" w:ascii="仿宋_GB2312"/>
                <w:sz w:val="24"/>
                <w:szCs w:val="24"/>
              </w:rPr>
              <w:t>未建立体系□\体系不健全□\安全管理人员不能有效开展工作□\不能对基层（人员）安全工作进行有效掌控□</w:t>
            </w:r>
          </w:p>
        </w:tc>
        <w:tc>
          <w:tcPr>
            <w:tcW w:w="2520" w:type="dxa"/>
            <w:noWrap w:val="0"/>
            <w:vAlign w:val="top"/>
          </w:tcPr>
          <w:p w14:paraId="73CFCFB7">
            <w:pPr>
              <w:pStyle w:val="3"/>
              <w:rPr>
                <w:rFonts w:hint="eastAsia" w:ascii="仿宋_GB2312"/>
                <w:sz w:val="24"/>
                <w:szCs w:val="24"/>
              </w:rPr>
            </w:pPr>
          </w:p>
        </w:tc>
        <w:tc>
          <w:tcPr>
            <w:tcW w:w="540" w:type="dxa"/>
            <w:noWrap w:val="0"/>
            <w:vAlign w:val="top"/>
          </w:tcPr>
          <w:p w14:paraId="0E975F6B">
            <w:pPr>
              <w:pStyle w:val="3"/>
              <w:rPr>
                <w:rFonts w:hint="eastAsia" w:ascii="仿宋_GB2312"/>
                <w:sz w:val="24"/>
                <w:szCs w:val="24"/>
              </w:rPr>
            </w:pPr>
          </w:p>
        </w:tc>
      </w:tr>
      <w:tr w14:paraId="75F6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37350DE">
            <w:pPr>
              <w:pStyle w:val="3"/>
              <w:jc w:val="center"/>
              <w:rPr>
                <w:rFonts w:hint="eastAsia" w:ascii="仿宋_GB2312"/>
                <w:sz w:val="24"/>
                <w:szCs w:val="24"/>
              </w:rPr>
            </w:pPr>
            <w:r>
              <w:rPr>
                <w:rFonts w:hint="eastAsia" w:ascii="仿宋_GB2312"/>
                <w:sz w:val="24"/>
                <w:szCs w:val="24"/>
              </w:rPr>
              <w:t>2</w:t>
            </w:r>
          </w:p>
        </w:tc>
        <w:tc>
          <w:tcPr>
            <w:tcW w:w="3240" w:type="dxa"/>
            <w:noWrap w:val="0"/>
            <w:vAlign w:val="center"/>
          </w:tcPr>
          <w:p w14:paraId="5D69F9E5">
            <w:pPr>
              <w:pStyle w:val="3"/>
              <w:rPr>
                <w:rFonts w:hint="eastAsia" w:ascii="仿宋_GB2312"/>
                <w:sz w:val="24"/>
                <w:szCs w:val="24"/>
              </w:rPr>
            </w:pPr>
            <w:r>
              <w:rPr>
                <w:rFonts w:hint="eastAsia" w:ascii="仿宋_GB2312"/>
                <w:sz w:val="24"/>
                <w:szCs w:val="24"/>
              </w:rPr>
              <w:t>安全责任书签订情况</w:t>
            </w:r>
          </w:p>
        </w:tc>
        <w:tc>
          <w:tcPr>
            <w:tcW w:w="540" w:type="dxa"/>
            <w:noWrap w:val="0"/>
            <w:vAlign w:val="center"/>
          </w:tcPr>
          <w:p w14:paraId="1EB26A32">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7688CC9A">
            <w:pPr>
              <w:pStyle w:val="3"/>
              <w:rPr>
                <w:rFonts w:hint="eastAsia" w:ascii="仿宋_GB2312"/>
                <w:sz w:val="24"/>
                <w:szCs w:val="24"/>
              </w:rPr>
            </w:pPr>
            <w:r>
              <w:rPr>
                <w:rFonts w:hint="eastAsia" w:ascii="仿宋_GB2312"/>
                <w:sz w:val="24"/>
                <w:szCs w:val="24"/>
              </w:rPr>
              <w:t>未做到员工《安全责任书》签订率100%□\与相关方漏签《安全协议》□\《安全责任书》和《安全协议》内容有漏洞□</w:t>
            </w:r>
          </w:p>
        </w:tc>
        <w:tc>
          <w:tcPr>
            <w:tcW w:w="2520" w:type="dxa"/>
            <w:noWrap w:val="0"/>
            <w:vAlign w:val="top"/>
          </w:tcPr>
          <w:p w14:paraId="5EDF5FC6">
            <w:pPr>
              <w:pStyle w:val="3"/>
              <w:rPr>
                <w:rFonts w:hint="eastAsia" w:ascii="仿宋_GB2312"/>
                <w:sz w:val="24"/>
                <w:szCs w:val="24"/>
              </w:rPr>
            </w:pPr>
          </w:p>
        </w:tc>
        <w:tc>
          <w:tcPr>
            <w:tcW w:w="540" w:type="dxa"/>
            <w:noWrap w:val="0"/>
            <w:vAlign w:val="top"/>
          </w:tcPr>
          <w:p w14:paraId="126060D5">
            <w:pPr>
              <w:pStyle w:val="3"/>
              <w:rPr>
                <w:rFonts w:hint="eastAsia" w:ascii="仿宋_GB2312"/>
                <w:sz w:val="24"/>
                <w:szCs w:val="24"/>
              </w:rPr>
            </w:pPr>
          </w:p>
        </w:tc>
      </w:tr>
      <w:tr w14:paraId="66BD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AF3A12F">
            <w:pPr>
              <w:pStyle w:val="3"/>
              <w:jc w:val="center"/>
              <w:rPr>
                <w:rFonts w:hint="eastAsia" w:ascii="仿宋_GB2312"/>
                <w:sz w:val="24"/>
                <w:szCs w:val="24"/>
              </w:rPr>
            </w:pPr>
            <w:r>
              <w:rPr>
                <w:rFonts w:hint="eastAsia" w:ascii="仿宋_GB2312"/>
                <w:sz w:val="24"/>
                <w:szCs w:val="24"/>
              </w:rPr>
              <w:t>3</w:t>
            </w:r>
          </w:p>
        </w:tc>
        <w:tc>
          <w:tcPr>
            <w:tcW w:w="3240" w:type="dxa"/>
            <w:noWrap w:val="0"/>
            <w:vAlign w:val="center"/>
          </w:tcPr>
          <w:p w14:paraId="60830F3F">
            <w:pPr>
              <w:pStyle w:val="3"/>
              <w:rPr>
                <w:rFonts w:hint="eastAsia" w:ascii="仿宋_GB2312"/>
                <w:sz w:val="24"/>
                <w:szCs w:val="24"/>
              </w:rPr>
            </w:pPr>
            <w:r>
              <w:rPr>
                <w:rFonts w:hint="eastAsia" w:ascii="仿宋_GB2312"/>
                <w:sz w:val="24"/>
                <w:szCs w:val="24"/>
              </w:rPr>
              <w:t>安全责任分解落实情况</w:t>
            </w:r>
          </w:p>
        </w:tc>
        <w:tc>
          <w:tcPr>
            <w:tcW w:w="540" w:type="dxa"/>
            <w:noWrap w:val="0"/>
            <w:vAlign w:val="center"/>
          </w:tcPr>
          <w:p w14:paraId="540BE403">
            <w:pPr>
              <w:pStyle w:val="3"/>
              <w:jc w:val="center"/>
              <w:rPr>
                <w:rFonts w:hint="eastAsia" w:ascii="仿宋_GB2312"/>
                <w:sz w:val="24"/>
                <w:szCs w:val="24"/>
              </w:rPr>
            </w:pPr>
            <w:r>
              <w:rPr>
                <w:rFonts w:hint="eastAsia" w:ascii="仿宋_GB2312"/>
                <w:sz w:val="24"/>
                <w:szCs w:val="24"/>
              </w:rPr>
              <w:t>7</w:t>
            </w:r>
          </w:p>
        </w:tc>
        <w:tc>
          <w:tcPr>
            <w:tcW w:w="7020" w:type="dxa"/>
            <w:noWrap w:val="0"/>
            <w:vAlign w:val="top"/>
          </w:tcPr>
          <w:p w14:paraId="6FC0ADCA">
            <w:pPr>
              <w:pStyle w:val="3"/>
              <w:rPr>
                <w:rFonts w:hint="eastAsia" w:ascii="仿宋_GB2312"/>
                <w:sz w:val="24"/>
                <w:szCs w:val="24"/>
              </w:rPr>
            </w:pPr>
            <w:r>
              <w:rPr>
                <w:rFonts w:hint="eastAsia" w:ascii="仿宋_GB2312"/>
                <w:sz w:val="24"/>
                <w:szCs w:val="24"/>
              </w:rPr>
              <w:t>未按区域、范围、时间段、岗位分解落实安全管理责任□\未确定责任人□\无准确相关记录□\未及时更新落实情况□</w:t>
            </w:r>
          </w:p>
        </w:tc>
        <w:tc>
          <w:tcPr>
            <w:tcW w:w="2520" w:type="dxa"/>
            <w:noWrap w:val="0"/>
            <w:vAlign w:val="top"/>
          </w:tcPr>
          <w:p w14:paraId="7422A81E">
            <w:pPr>
              <w:pStyle w:val="3"/>
              <w:rPr>
                <w:rFonts w:hint="eastAsia" w:ascii="仿宋_GB2312"/>
                <w:sz w:val="24"/>
                <w:szCs w:val="24"/>
              </w:rPr>
            </w:pPr>
          </w:p>
        </w:tc>
        <w:tc>
          <w:tcPr>
            <w:tcW w:w="540" w:type="dxa"/>
            <w:noWrap w:val="0"/>
            <w:vAlign w:val="top"/>
          </w:tcPr>
          <w:p w14:paraId="6AE4543F">
            <w:pPr>
              <w:pStyle w:val="3"/>
              <w:rPr>
                <w:rFonts w:hint="eastAsia" w:ascii="仿宋_GB2312"/>
                <w:sz w:val="24"/>
                <w:szCs w:val="24"/>
              </w:rPr>
            </w:pPr>
          </w:p>
        </w:tc>
      </w:tr>
      <w:tr w14:paraId="2777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6B29623">
            <w:pPr>
              <w:pStyle w:val="3"/>
              <w:jc w:val="center"/>
              <w:rPr>
                <w:rFonts w:hint="eastAsia" w:ascii="仿宋_GB2312"/>
                <w:sz w:val="24"/>
                <w:szCs w:val="24"/>
              </w:rPr>
            </w:pPr>
            <w:r>
              <w:rPr>
                <w:rFonts w:hint="eastAsia" w:ascii="仿宋_GB2312"/>
                <w:sz w:val="24"/>
                <w:szCs w:val="24"/>
              </w:rPr>
              <w:t>4</w:t>
            </w:r>
          </w:p>
        </w:tc>
        <w:tc>
          <w:tcPr>
            <w:tcW w:w="3240" w:type="dxa"/>
            <w:noWrap w:val="0"/>
            <w:vAlign w:val="center"/>
          </w:tcPr>
          <w:p w14:paraId="17F2A9EC">
            <w:pPr>
              <w:pStyle w:val="3"/>
              <w:rPr>
                <w:rFonts w:hint="eastAsia" w:ascii="仿宋_GB2312"/>
                <w:sz w:val="24"/>
                <w:szCs w:val="24"/>
              </w:rPr>
            </w:pPr>
            <w:r>
              <w:rPr>
                <w:rFonts w:hint="eastAsia" w:ascii="仿宋_GB2312"/>
                <w:sz w:val="24"/>
                <w:szCs w:val="24"/>
              </w:rPr>
              <w:t>安全专题例会召开情况</w:t>
            </w:r>
          </w:p>
        </w:tc>
        <w:tc>
          <w:tcPr>
            <w:tcW w:w="540" w:type="dxa"/>
            <w:noWrap w:val="0"/>
            <w:vAlign w:val="center"/>
          </w:tcPr>
          <w:p w14:paraId="4C303DA4">
            <w:pPr>
              <w:pStyle w:val="3"/>
              <w:jc w:val="center"/>
              <w:rPr>
                <w:rFonts w:hint="eastAsia" w:ascii="仿宋_GB2312"/>
                <w:sz w:val="24"/>
                <w:szCs w:val="24"/>
              </w:rPr>
            </w:pPr>
            <w:r>
              <w:rPr>
                <w:rFonts w:hint="eastAsia" w:ascii="仿宋_GB2312"/>
                <w:sz w:val="24"/>
                <w:szCs w:val="24"/>
              </w:rPr>
              <w:t>3</w:t>
            </w:r>
          </w:p>
        </w:tc>
        <w:tc>
          <w:tcPr>
            <w:tcW w:w="7020" w:type="dxa"/>
            <w:noWrap w:val="0"/>
            <w:vAlign w:val="top"/>
          </w:tcPr>
          <w:p w14:paraId="74BB2FB0">
            <w:pPr>
              <w:pStyle w:val="3"/>
              <w:rPr>
                <w:rFonts w:hint="eastAsia" w:ascii="仿宋_GB2312"/>
                <w:sz w:val="24"/>
                <w:szCs w:val="24"/>
              </w:rPr>
            </w:pPr>
            <w:r>
              <w:rPr>
                <w:rFonts w:hint="eastAsia" w:ascii="仿宋_GB2312"/>
                <w:sz w:val="24"/>
                <w:szCs w:val="24"/>
              </w:rPr>
              <w:t>未按时召开安全专题例会□\未能留存会议记录、纪要□</w:t>
            </w:r>
          </w:p>
        </w:tc>
        <w:tc>
          <w:tcPr>
            <w:tcW w:w="2520" w:type="dxa"/>
            <w:noWrap w:val="0"/>
            <w:vAlign w:val="top"/>
          </w:tcPr>
          <w:p w14:paraId="6B755E45">
            <w:pPr>
              <w:pStyle w:val="3"/>
              <w:rPr>
                <w:rFonts w:hint="eastAsia" w:ascii="仿宋_GB2312"/>
                <w:sz w:val="24"/>
                <w:szCs w:val="24"/>
              </w:rPr>
            </w:pPr>
          </w:p>
        </w:tc>
        <w:tc>
          <w:tcPr>
            <w:tcW w:w="540" w:type="dxa"/>
            <w:noWrap w:val="0"/>
            <w:vAlign w:val="top"/>
          </w:tcPr>
          <w:p w14:paraId="0B298736">
            <w:pPr>
              <w:pStyle w:val="3"/>
              <w:rPr>
                <w:rFonts w:hint="eastAsia" w:ascii="仿宋_GB2312"/>
                <w:sz w:val="24"/>
                <w:szCs w:val="24"/>
              </w:rPr>
            </w:pPr>
          </w:p>
        </w:tc>
      </w:tr>
      <w:tr w14:paraId="0605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D8B44AF">
            <w:pPr>
              <w:pStyle w:val="3"/>
              <w:jc w:val="center"/>
              <w:rPr>
                <w:rFonts w:hint="eastAsia" w:ascii="仿宋_GB2312"/>
                <w:sz w:val="24"/>
                <w:szCs w:val="24"/>
              </w:rPr>
            </w:pPr>
            <w:r>
              <w:rPr>
                <w:rFonts w:hint="eastAsia" w:ascii="仿宋_GB2312"/>
                <w:sz w:val="24"/>
                <w:szCs w:val="24"/>
              </w:rPr>
              <w:t>5</w:t>
            </w:r>
          </w:p>
        </w:tc>
        <w:tc>
          <w:tcPr>
            <w:tcW w:w="3240" w:type="dxa"/>
            <w:noWrap w:val="0"/>
            <w:vAlign w:val="center"/>
          </w:tcPr>
          <w:p w14:paraId="5E024D06">
            <w:pPr>
              <w:pStyle w:val="3"/>
              <w:rPr>
                <w:rFonts w:hint="eastAsia" w:ascii="仿宋_GB2312"/>
                <w:sz w:val="24"/>
                <w:szCs w:val="24"/>
              </w:rPr>
            </w:pPr>
            <w:r>
              <w:rPr>
                <w:rFonts w:hint="eastAsia" w:ascii="仿宋_GB2312"/>
                <w:sz w:val="24"/>
                <w:szCs w:val="24"/>
              </w:rPr>
              <w:t>安全隐患排查处理情况</w:t>
            </w:r>
          </w:p>
        </w:tc>
        <w:tc>
          <w:tcPr>
            <w:tcW w:w="540" w:type="dxa"/>
            <w:noWrap w:val="0"/>
            <w:vAlign w:val="center"/>
          </w:tcPr>
          <w:p w14:paraId="782F2A63">
            <w:pPr>
              <w:pStyle w:val="3"/>
              <w:jc w:val="center"/>
              <w:rPr>
                <w:rFonts w:hint="eastAsia" w:ascii="仿宋_GB2312"/>
                <w:sz w:val="24"/>
                <w:szCs w:val="24"/>
              </w:rPr>
            </w:pPr>
            <w:r>
              <w:rPr>
                <w:rFonts w:hint="eastAsia" w:ascii="仿宋_GB2312"/>
                <w:sz w:val="24"/>
                <w:szCs w:val="24"/>
              </w:rPr>
              <w:t>10</w:t>
            </w:r>
          </w:p>
        </w:tc>
        <w:tc>
          <w:tcPr>
            <w:tcW w:w="7020" w:type="dxa"/>
            <w:noWrap w:val="0"/>
            <w:vAlign w:val="top"/>
          </w:tcPr>
          <w:p w14:paraId="76A784EA">
            <w:pPr>
              <w:pStyle w:val="3"/>
              <w:rPr>
                <w:rFonts w:hint="eastAsia" w:ascii="仿宋_GB2312"/>
                <w:sz w:val="24"/>
                <w:szCs w:val="24"/>
              </w:rPr>
            </w:pPr>
            <w:r>
              <w:rPr>
                <w:rFonts w:hint="eastAsia" w:ascii="仿宋_GB2312"/>
                <w:sz w:val="24"/>
                <w:szCs w:val="24"/>
              </w:rPr>
              <w:t>未安排安全隐患排查工作□\隐患责任未分析区分□\因故未整改的隐患无备用措施和应急预案□\</w:t>
            </w:r>
            <w:r>
              <w:rPr>
                <w:rFonts w:hint="eastAsia" w:ascii="仿宋_GB2312" w:hAnsi="华文仿宋"/>
                <w:sz w:val="24"/>
                <w:szCs w:val="24"/>
              </w:rPr>
              <w:t>安全隐患情况未在公司安委会办公室备案</w:t>
            </w:r>
            <w:r>
              <w:rPr>
                <w:rFonts w:hint="eastAsia" w:ascii="仿宋_GB2312"/>
                <w:sz w:val="24"/>
                <w:szCs w:val="24"/>
              </w:rPr>
              <w:t>□\</w:t>
            </w:r>
            <w:r>
              <w:rPr>
                <w:rFonts w:hint="eastAsia" w:ascii="仿宋_GB2312" w:hAnsi="华文仿宋"/>
                <w:sz w:val="24"/>
                <w:szCs w:val="24"/>
              </w:rPr>
              <w:t>安全隐患情况未及时更新</w:t>
            </w:r>
            <w:r>
              <w:rPr>
                <w:rFonts w:hint="eastAsia" w:ascii="仿宋_GB2312"/>
                <w:sz w:val="24"/>
                <w:szCs w:val="24"/>
              </w:rPr>
              <w:t>□</w:t>
            </w:r>
          </w:p>
        </w:tc>
        <w:tc>
          <w:tcPr>
            <w:tcW w:w="2520" w:type="dxa"/>
            <w:noWrap w:val="0"/>
            <w:vAlign w:val="top"/>
          </w:tcPr>
          <w:p w14:paraId="7881DA62">
            <w:pPr>
              <w:pStyle w:val="3"/>
              <w:rPr>
                <w:rFonts w:hint="eastAsia" w:ascii="仿宋_GB2312"/>
                <w:sz w:val="24"/>
                <w:szCs w:val="24"/>
              </w:rPr>
            </w:pPr>
          </w:p>
        </w:tc>
        <w:tc>
          <w:tcPr>
            <w:tcW w:w="540" w:type="dxa"/>
            <w:noWrap w:val="0"/>
            <w:vAlign w:val="top"/>
          </w:tcPr>
          <w:p w14:paraId="4539521D">
            <w:pPr>
              <w:pStyle w:val="3"/>
              <w:rPr>
                <w:rFonts w:hint="eastAsia" w:ascii="仿宋_GB2312"/>
                <w:sz w:val="24"/>
                <w:szCs w:val="24"/>
              </w:rPr>
            </w:pPr>
          </w:p>
        </w:tc>
      </w:tr>
      <w:tr w14:paraId="3BF7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7B06F4E4">
            <w:pPr>
              <w:pStyle w:val="3"/>
              <w:jc w:val="center"/>
              <w:rPr>
                <w:rFonts w:hint="eastAsia" w:ascii="仿宋_GB2312"/>
                <w:sz w:val="24"/>
                <w:szCs w:val="24"/>
              </w:rPr>
            </w:pPr>
            <w:r>
              <w:rPr>
                <w:rFonts w:hint="eastAsia" w:ascii="仿宋_GB2312"/>
                <w:sz w:val="24"/>
                <w:szCs w:val="24"/>
              </w:rPr>
              <w:t>6</w:t>
            </w:r>
          </w:p>
        </w:tc>
        <w:tc>
          <w:tcPr>
            <w:tcW w:w="3240" w:type="dxa"/>
            <w:noWrap w:val="0"/>
            <w:vAlign w:val="center"/>
          </w:tcPr>
          <w:p w14:paraId="63E02737">
            <w:pPr>
              <w:pStyle w:val="3"/>
              <w:rPr>
                <w:rFonts w:hint="eastAsia" w:ascii="仿宋_GB2312"/>
                <w:sz w:val="24"/>
                <w:szCs w:val="24"/>
              </w:rPr>
            </w:pPr>
            <w:r>
              <w:rPr>
                <w:rFonts w:hint="eastAsia" w:ascii="仿宋_GB2312"/>
                <w:kern w:val="0"/>
                <w:sz w:val="24"/>
                <w:szCs w:val="24"/>
              </w:rPr>
              <w:t>安全资金投入情况</w:t>
            </w:r>
          </w:p>
        </w:tc>
        <w:tc>
          <w:tcPr>
            <w:tcW w:w="540" w:type="dxa"/>
            <w:noWrap w:val="0"/>
            <w:vAlign w:val="center"/>
          </w:tcPr>
          <w:p w14:paraId="4397ED2C">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39C2DED4">
            <w:pPr>
              <w:pStyle w:val="3"/>
              <w:rPr>
                <w:rFonts w:hint="eastAsia" w:ascii="仿宋_GB2312"/>
                <w:sz w:val="24"/>
                <w:szCs w:val="24"/>
              </w:rPr>
            </w:pPr>
            <w:r>
              <w:rPr>
                <w:rFonts w:hint="eastAsia" w:ascii="仿宋_GB2312"/>
                <w:sz w:val="24"/>
                <w:szCs w:val="24"/>
              </w:rPr>
              <w:t>安全投入不足额到位或不及时□\未做年度安全投入计划、预算□\因故</w:t>
            </w:r>
            <w:r>
              <w:rPr>
                <w:rFonts w:hint="eastAsia" w:ascii="仿宋_GB2312"/>
                <w:kern w:val="0"/>
                <w:sz w:val="24"/>
                <w:szCs w:val="24"/>
              </w:rPr>
              <w:t>不能保障安全投入的未报公司</w:t>
            </w:r>
            <w:r>
              <w:rPr>
                <w:rFonts w:hint="eastAsia" w:ascii="仿宋_GB2312" w:hAnsi="华文仿宋"/>
                <w:bCs/>
                <w:sz w:val="24"/>
                <w:szCs w:val="24"/>
              </w:rPr>
              <w:t>批准</w:t>
            </w:r>
            <w:r>
              <w:rPr>
                <w:rFonts w:hint="eastAsia" w:ascii="仿宋_GB2312"/>
                <w:sz w:val="24"/>
                <w:szCs w:val="24"/>
              </w:rPr>
              <w:t>□</w:t>
            </w:r>
          </w:p>
        </w:tc>
        <w:tc>
          <w:tcPr>
            <w:tcW w:w="2520" w:type="dxa"/>
            <w:noWrap w:val="0"/>
            <w:vAlign w:val="top"/>
          </w:tcPr>
          <w:p w14:paraId="3D532193">
            <w:pPr>
              <w:pStyle w:val="3"/>
              <w:rPr>
                <w:rFonts w:hint="eastAsia" w:ascii="仿宋_GB2312"/>
                <w:sz w:val="24"/>
                <w:szCs w:val="24"/>
              </w:rPr>
            </w:pPr>
          </w:p>
        </w:tc>
        <w:tc>
          <w:tcPr>
            <w:tcW w:w="540" w:type="dxa"/>
            <w:noWrap w:val="0"/>
            <w:vAlign w:val="top"/>
          </w:tcPr>
          <w:p w14:paraId="2B2BDEE4">
            <w:pPr>
              <w:pStyle w:val="3"/>
              <w:rPr>
                <w:rFonts w:hint="eastAsia" w:ascii="仿宋_GB2312"/>
                <w:sz w:val="24"/>
                <w:szCs w:val="24"/>
              </w:rPr>
            </w:pPr>
          </w:p>
        </w:tc>
      </w:tr>
      <w:tr w14:paraId="3522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B9B028A">
            <w:pPr>
              <w:pStyle w:val="3"/>
              <w:jc w:val="center"/>
              <w:rPr>
                <w:rFonts w:hint="eastAsia" w:ascii="仿宋_GB2312"/>
                <w:sz w:val="24"/>
                <w:szCs w:val="24"/>
              </w:rPr>
            </w:pPr>
            <w:r>
              <w:rPr>
                <w:rFonts w:hint="eastAsia" w:ascii="仿宋_GB2312"/>
                <w:sz w:val="24"/>
                <w:szCs w:val="24"/>
              </w:rPr>
              <w:t>7</w:t>
            </w:r>
          </w:p>
        </w:tc>
        <w:tc>
          <w:tcPr>
            <w:tcW w:w="3240" w:type="dxa"/>
            <w:noWrap w:val="0"/>
            <w:vAlign w:val="center"/>
          </w:tcPr>
          <w:p w14:paraId="0454AE33">
            <w:pPr>
              <w:pStyle w:val="3"/>
              <w:rPr>
                <w:rFonts w:hint="eastAsia" w:ascii="仿宋_GB2312"/>
                <w:sz w:val="24"/>
                <w:szCs w:val="24"/>
              </w:rPr>
            </w:pPr>
            <w:r>
              <w:rPr>
                <w:rFonts w:hint="eastAsia" w:ascii="仿宋_GB2312"/>
                <w:sz w:val="24"/>
                <w:szCs w:val="24"/>
              </w:rPr>
              <w:t>安全管理有关法规执行落实情况</w:t>
            </w:r>
          </w:p>
        </w:tc>
        <w:tc>
          <w:tcPr>
            <w:tcW w:w="540" w:type="dxa"/>
            <w:noWrap w:val="0"/>
            <w:vAlign w:val="center"/>
          </w:tcPr>
          <w:p w14:paraId="09C17025">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66D335F7">
            <w:pPr>
              <w:pStyle w:val="3"/>
              <w:rPr>
                <w:rFonts w:hint="eastAsia" w:ascii="仿宋_GB2312"/>
                <w:sz w:val="24"/>
                <w:szCs w:val="24"/>
              </w:rPr>
            </w:pPr>
            <w:r>
              <w:rPr>
                <w:rFonts w:hint="eastAsia" w:ascii="仿宋_GB2312"/>
                <w:sz w:val="24"/>
                <w:szCs w:val="24"/>
              </w:rPr>
              <w:t>未能了解、掌握安全管理有关法规□\对新安全管理法规未作贯彻、落实□\管理人员违章指挥□\操作人员违章操作□</w:t>
            </w:r>
          </w:p>
        </w:tc>
        <w:tc>
          <w:tcPr>
            <w:tcW w:w="2520" w:type="dxa"/>
            <w:noWrap w:val="0"/>
            <w:vAlign w:val="top"/>
          </w:tcPr>
          <w:p w14:paraId="5D003687">
            <w:pPr>
              <w:pStyle w:val="3"/>
              <w:rPr>
                <w:rFonts w:hint="eastAsia" w:ascii="仿宋_GB2312"/>
                <w:sz w:val="24"/>
                <w:szCs w:val="24"/>
              </w:rPr>
            </w:pPr>
          </w:p>
        </w:tc>
        <w:tc>
          <w:tcPr>
            <w:tcW w:w="540" w:type="dxa"/>
            <w:noWrap w:val="0"/>
            <w:vAlign w:val="top"/>
          </w:tcPr>
          <w:p w14:paraId="63C47BB1">
            <w:pPr>
              <w:pStyle w:val="3"/>
              <w:rPr>
                <w:rFonts w:hint="eastAsia" w:ascii="仿宋_GB2312"/>
                <w:sz w:val="24"/>
                <w:szCs w:val="24"/>
              </w:rPr>
            </w:pPr>
          </w:p>
        </w:tc>
      </w:tr>
      <w:tr w14:paraId="387A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F904C64">
            <w:pPr>
              <w:pStyle w:val="3"/>
              <w:jc w:val="center"/>
              <w:rPr>
                <w:rFonts w:hint="eastAsia" w:ascii="仿宋_GB2312"/>
                <w:sz w:val="24"/>
                <w:szCs w:val="24"/>
              </w:rPr>
            </w:pPr>
            <w:r>
              <w:rPr>
                <w:rFonts w:hint="eastAsia" w:ascii="仿宋_GB2312"/>
                <w:sz w:val="24"/>
                <w:szCs w:val="24"/>
              </w:rPr>
              <w:t>8</w:t>
            </w:r>
          </w:p>
        </w:tc>
        <w:tc>
          <w:tcPr>
            <w:tcW w:w="3240" w:type="dxa"/>
            <w:noWrap w:val="0"/>
            <w:vAlign w:val="center"/>
          </w:tcPr>
          <w:p w14:paraId="57C2D486">
            <w:pPr>
              <w:pStyle w:val="3"/>
              <w:rPr>
                <w:rFonts w:hint="eastAsia" w:ascii="仿宋_GB2312"/>
                <w:sz w:val="24"/>
                <w:szCs w:val="24"/>
              </w:rPr>
            </w:pPr>
            <w:r>
              <w:rPr>
                <w:rFonts w:hint="eastAsia" w:ascii="仿宋_GB2312"/>
                <w:sz w:val="24"/>
                <w:szCs w:val="24"/>
              </w:rPr>
              <w:t>公司布置的各项安全工作的落实情况</w:t>
            </w:r>
          </w:p>
        </w:tc>
        <w:tc>
          <w:tcPr>
            <w:tcW w:w="540" w:type="dxa"/>
            <w:noWrap w:val="0"/>
            <w:vAlign w:val="center"/>
          </w:tcPr>
          <w:p w14:paraId="3129CB26">
            <w:pPr>
              <w:pStyle w:val="3"/>
              <w:jc w:val="center"/>
              <w:rPr>
                <w:rFonts w:hint="eastAsia" w:ascii="仿宋_GB2312"/>
                <w:sz w:val="24"/>
                <w:szCs w:val="24"/>
              </w:rPr>
            </w:pPr>
            <w:r>
              <w:rPr>
                <w:rFonts w:hint="eastAsia" w:ascii="仿宋_GB2312"/>
                <w:sz w:val="24"/>
                <w:szCs w:val="24"/>
              </w:rPr>
              <w:t>10</w:t>
            </w:r>
          </w:p>
        </w:tc>
        <w:tc>
          <w:tcPr>
            <w:tcW w:w="7020" w:type="dxa"/>
            <w:noWrap w:val="0"/>
            <w:vAlign w:val="top"/>
          </w:tcPr>
          <w:p w14:paraId="19F589D6">
            <w:pPr>
              <w:pStyle w:val="3"/>
              <w:rPr>
                <w:rFonts w:hint="eastAsia" w:ascii="仿宋_GB2312"/>
                <w:sz w:val="24"/>
                <w:szCs w:val="24"/>
              </w:rPr>
            </w:pPr>
            <w:r>
              <w:rPr>
                <w:rFonts w:hint="eastAsia" w:ascii="仿宋_GB2312"/>
                <w:sz w:val="24"/>
                <w:szCs w:val="24"/>
              </w:rPr>
              <w:t>未能及时有效安排落实□\未能在规定时限完成并反馈□\痕迹管理不详尽清晰□</w:t>
            </w:r>
          </w:p>
        </w:tc>
        <w:tc>
          <w:tcPr>
            <w:tcW w:w="2520" w:type="dxa"/>
            <w:noWrap w:val="0"/>
            <w:vAlign w:val="top"/>
          </w:tcPr>
          <w:p w14:paraId="3BE5A90C">
            <w:pPr>
              <w:pStyle w:val="3"/>
              <w:rPr>
                <w:rFonts w:hint="eastAsia" w:ascii="仿宋_GB2312"/>
                <w:sz w:val="24"/>
                <w:szCs w:val="24"/>
              </w:rPr>
            </w:pPr>
          </w:p>
        </w:tc>
        <w:tc>
          <w:tcPr>
            <w:tcW w:w="540" w:type="dxa"/>
            <w:noWrap w:val="0"/>
            <w:vAlign w:val="top"/>
          </w:tcPr>
          <w:p w14:paraId="14AE121D">
            <w:pPr>
              <w:pStyle w:val="3"/>
              <w:rPr>
                <w:rFonts w:hint="eastAsia" w:ascii="仿宋_GB2312"/>
                <w:sz w:val="24"/>
                <w:szCs w:val="24"/>
              </w:rPr>
            </w:pPr>
          </w:p>
        </w:tc>
      </w:tr>
      <w:tr w14:paraId="3A3E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610D769">
            <w:pPr>
              <w:pStyle w:val="3"/>
              <w:jc w:val="center"/>
              <w:rPr>
                <w:rFonts w:hint="eastAsia" w:ascii="仿宋_GB2312"/>
                <w:sz w:val="24"/>
                <w:szCs w:val="24"/>
              </w:rPr>
            </w:pPr>
            <w:r>
              <w:rPr>
                <w:rFonts w:hint="eastAsia" w:ascii="仿宋_GB2312"/>
                <w:sz w:val="24"/>
                <w:szCs w:val="24"/>
              </w:rPr>
              <w:t>9</w:t>
            </w:r>
          </w:p>
        </w:tc>
        <w:tc>
          <w:tcPr>
            <w:tcW w:w="3240" w:type="dxa"/>
            <w:noWrap w:val="0"/>
            <w:vAlign w:val="center"/>
          </w:tcPr>
          <w:p w14:paraId="7B720391">
            <w:pPr>
              <w:pStyle w:val="3"/>
              <w:rPr>
                <w:rFonts w:hint="eastAsia" w:ascii="仿宋_GB2312"/>
                <w:sz w:val="24"/>
                <w:szCs w:val="24"/>
              </w:rPr>
            </w:pPr>
            <w:r>
              <w:rPr>
                <w:rFonts w:hint="eastAsia" w:ascii="仿宋_GB2312"/>
                <w:sz w:val="24"/>
                <w:szCs w:val="24"/>
              </w:rPr>
              <w:t>各项安全管理制度、预案、规定等相关支持文件制定、落实情况</w:t>
            </w:r>
          </w:p>
        </w:tc>
        <w:tc>
          <w:tcPr>
            <w:tcW w:w="540" w:type="dxa"/>
            <w:noWrap w:val="0"/>
            <w:vAlign w:val="center"/>
          </w:tcPr>
          <w:p w14:paraId="15E6A956">
            <w:pPr>
              <w:pStyle w:val="3"/>
              <w:jc w:val="center"/>
              <w:rPr>
                <w:rFonts w:hint="eastAsia" w:ascii="仿宋_GB2312"/>
                <w:sz w:val="24"/>
                <w:szCs w:val="24"/>
              </w:rPr>
            </w:pPr>
            <w:r>
              <w:rPr>
                <w:rFonts w:hint="eastAsia" w:ascii="仿宋_GB2312"/>
                <w:sz w:val="24"/>
                <w:szCs w:val="24"/>
              </w:rPr>
              <w:t>3</w:t>
            </w:r>
          </w:p>
        </w:tc>
        <w:tc>
          <w:tcPr>
            <w:tcW w:w="7020" w:type="dxa"/>
            <w:noWrap w:val="0"/>
            <w:vAlign w:val="top"/>
          </w:tcPr>
          <w:p w14:paraId="559BC803">
            <w:pPr>
              <w:pStyle w:val="3"/>
              <w:rPr>
                <w:rFonts w:hint="eastAsia" w:ascii="仿宋_GB2312"/>
                <w:sz w:val="24"/>
                <w:szCs w:val="24"/>
              </w:rPr>
            </w:pPr>
            <w:r>
              <w:rPr>
                <w:rFonts w:hint="eastAsia" w:ascii="仿宋_GB2312"/>
                <w:sz w:val="24"/>
                <w:szCs w:val="24"/>
              </w:rPr>
              <w:t>未按工作实际制定安全管理制度、预案、规定等文件或文件不适用□\未严格落实相关制度类文件□\未能按实际情况发展不断改进修订□</w:t>
            </w:r>
          </w:p>
        </w:tc>
        <w:tc>
          <w:tcPr>
            <w:tcW w:w="2520" w:type="dxa"/>
            <w:noWrap w:val="0"/>
            <w:vAlign w:val="top"/>
          </w:tcPr>
          <w:p w14:paraId="267B32C2">
            <w:pPr>
              <w:pStyle w:val="3"/>
              <w:rPr>
                <w:rFonts w:hint="eastAsia" w:ascii="仿宋_GB2312"/>
                <w:sz w:val="24"/>
                <w:szCs w:val="24"/>
              </w:rPr>
            </w:pPr>
          </w:p>
        </w:tc>
        <w:tc>
          <w:tcPr>
            <w:tcW w:w="540" w:type="dxa"/>
            <w:noWrap w:val="0"/>
            <w:vAlign w:val="top"/>
          </w:tcPr>
          <w:p w14:paraId="3B54FF51">
            <w:pPr>
              <w:pStyle w:val="3"/>
              <w:rPr>
                <w:rFonts w:hint="eastAsia" w:ascii="仿宋_GB2312"/>
                <w:sz w:val="24"/>
                <w:szCs w:val="24"/>
              </w:rPr>
            </w:pPr>
          </w:p>
        </w:tc>
      </w:tr>
      <w:tr w14:paraId="505D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7E9A6898">
            <w:pPr>
              <w:pStyle w:val="3"/>
              <w:jc w:val="center"/>
              <w:rPr>
                <w:rFonts w:hint="eastAsia" w:ascii="仿宋_GB2312"/>
                <w:sz w:val="24"/>
                <w:szCs w:val="24"/>
              </w:rPr>
            </w:pPr>
            <w:r>
              <w:rPr>
                <w:rFonts w:hint="eastAsia" w:ascii="仿宋_GB2312"/>
                <w:sz w:val="24"/>
                <w:szCs w:val="24"/>
              </w:rPr>
              <w:t>10</w:t>
            </w:r>
          </w:p>
        </w:tc>
        <w:tc>
          <w:tcPr>
            <w:tcW w:w="3240" w:type="dxa"/>
            <w:noWrap w:val="0"/>
            <w:vAlign w:val="center"/>
          </w:tcPr>
          <w:p w14:paraId="45F26B9F">
            <w:pPr>
              <w:pStyle w:val="3"/>
              <w:rPr>
                <w:rFonts w:hint="eastAsia" w:ascii="仿宋_GB2312"/>
                <w:sz w:val="24"/>
                <w:szCs w:val="24"/>
              </w:rPr>
            </w:pPr>
            <w:r>
              <w:rPr>
                <w:rFonts w:hint="eastAsia" w:ascii="仿宋_GB2312"/>
                <w:sz w:val="24"/>
                <w:szCs w:val="24"/>
              </w:rPr>
              <w:t>安全工作重点部位管理情况</w:t>
            </w:r>
          </w:p>
        </w:tc>
        <w:tc>
          <w:tcPr>
            <w:tcW w:w="540" w:type="dxa"/>
            <w:noWrap w:val="0"/>
            <w:vAlign w:val="center"/>
          </w:tcPr>
          <w:p w14:paraId="6B55DE0E">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3682D64D">
            <w:pPr>
              <w:pStyle w:val="3"/>
              <w:rPr>
                <w:rFonts w:hint="eastAsia" w:ascii="仿宋_GB2312"/>
                <w:sz w:val="24"/>
                <w:szCs w:val="24"/>
              </w:rPr>
            </w:pPr>
            <w:r>
              <w:rPr>
                <w:rFonts w:hint="eastAsia" w:ascii="仿宋_GB2312"/>
                <w:sz w:val="24"/>
                <w:szCs w:val="24"/>
              </w:rPr>
              <w:t>未能确定管理范围内安全工作重点部位□\安全工作重点部位无重点管理的方案□未严格落实重点部位管理方案□</w:t>
            </w:r>
          </w:p>
        </w:tc>
        <w:tc>
          <w:tcPr>
            <w:tcW w:w="2520" w:type="dxa"/>
            <w:noWrap w:val="0"/>
            <w:vAlign w:val="top"/>
          </w:tcPr>
          <w:p w14:paraId="3D8CF0D4">
            <w:pPr>
              <w:pStyle w:val="3"/>
              <w:rPr>
                <w:rFonts w:hint="eastAsia" w:ascii="仿宋_GB2312"/>
                <w:sz w:val="24"/>
                <w:szCs w:val="24"/>
              </w:rPr>
            </w:pPr>
          </w:p>
        </w:tc>
        <w:tc>
          <w:tcPr>
            <w:tcW w:w="540" w:type="dxa"/>
            <w:noWrap w:val="0"/>
            <w:vAlign w:val="top"/>
          </w:tcPr>
          <w:p w14:paraId="7FD9DEB8">
            <w:pPr>
              <w:pStyle w:val="3"/>
              <w:rPr>
                <w:rFonts w:hint="eastAsia" w:ascii="仿宋_GB2312"/>
                <w:sz w:val="24"/>
                <w:szCs w:val="24"/>
              </w:rPr>
            </w:pPr>
          </w:p>
        </w:tc>
      </w:tr>
      <w:tr w14:paraId="22A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9FE0641">
            <w:pPr>
              <w:pStyle w:val="3"/>
              <w:jc w:val="center"/>
              <w:rPr>
                <w:rFonts w:hint="eastAsia" w:ascii="仿宋_GB2312"/>
                <w:sz w:val="24"/>
                <w:szCs w:val="24"/>
              </w:rPr>
            </w:pPr>
            <w:r>
              <w:rPr>
                <w:rFonts w:hint="eastAsia" w:ascii="仿宋_GB2312"/>
                <w:sz w:val="24"/>
                <w:szCs w:val="24"/>
              </w:rPr>
              <w:t>11</w:t>
            </w:r>
          </w:p>
        </w:tc>
        <w:tc>
          <w:tcPr>
            <w:tcW w:w="3240" w:type="dxa"/>
            <w:noWrap w:val="0"/>
            <w:vAlign w:val="center"/>
          </w:tcPr>
          <w:p w14:paraId="77313E54">
            <w:pPr>
              <w:pStyle w:val="3"/>
              <w:rPr>
                <w:rFonts w:hint="eastAsia" w:ascii="仿宋_GB2312"/>
                <w:sz w:val="24"/>
                <w:szCs w:val="24"/>
              </w:rPr>
            </w:pPr>
            <w:r>
              <w:rPr>
                <w:rFonts w:hint="eastAsia" w:ascii="仿宋_GB2312"/>
                <w:sz w:val="24"/>
                <w:szCs w:val="24"/>
              </w:rPr>
              <w:t>设施设备管理情况</w:t>
            </w:r>
          </w:p>
        </w:tc>
        <w:tc>
          <w:tcPr>
            <w:tcW w:w="540" w:type="dxa"/>
            <w:noWrap w:val="0"/>
            <w:vAlign w:val="center"/>
          </w:tcPr>
          <w:p w14:paraId="1261F866">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0200DACD">
            <w:pPr>
              <w:pStyle w:val="3"/>
              <w:rPr>
                <w:rFonts w:hint="eastAsia" w:ascii="仿宋_GB2312"/>
                <w:sz w:val="24"/>
                <w:szCs w:val="24"/>
              </w:rPr>
            </w:pPr>
            <w:r>
              <w:rPr>
                <w:rFonts w:hint="eastAsia" w:ascii="仿宋_GB2312"/>
                <w:sz w:val="24"/>
                <w:szCs w:val="24"/>
              </w:rPr>
              <w:t>设施设备配备不齐全、无有效防护、存在运行隐患□\特种设备无管理方案□\特种设备未按规定检测合格且时限有效□</w:t>
            </w:r>
          </w:p>
        </w:tc>
        <w:tc>
          <w:tcPr>
            <w:tcW w:w="2520" w:type="dxa"/>
            <w:noWrap w:val="0"/>
            <w:vAlign w:val="top"/>
          </w:tcPr>
          <w:p w14:paraId="5B654751">
            <w:pPr>
              <w:pStyle w:val="3"/>
              <w:rPr>
                <w:rFonts w:hint="eastAsia" w:ascii="仿宋_GB2312"/>
                <w:sz w:val="24"/>
                <w:szCs w:val="24"/>
              </w:rPr>
            </w:pPr>
          </w:p>
        </w:tc>
        <w:tc>
          <w:tcPr>
            <w:tcW w:w="540" w:type="dxa"/>
            <w:noWrap w:val="0"/>
            <w:vAlign w:val="top"/>
          </w:tcPr>
          <w:p w14:paraId="7C822D50">
            <w:pPr>
              <w:pStyle w:val="3"/>
              <w:rPr>
                <w:rFonts w:hint="eastAsia" w:ascii="仿宋_GB2312"/>
                <w:sz w:val="24"/>
                <w:szCs w:val="24"/>
              </w:rPr>
            </w:pPr>
          </w:p>
        </w:tc>
      </w:tr>
      <w:tr w14:paraId="6B2A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833570C">
            <w:pPr>
              <w:pStyle w:val="3"/>
              <w:jc w:val="center"/>
              <w:rPr>
                <w:rFonts w:hint="eastAsia" w:ascii="仿宋_GB2312"/>
                <w:sz w:val="24"/>
                <w:szCs w:val="24"/>
              </w:rPr>
            </w:pPr>
            <w:r>
              <w:rPr>
                <w:rFonts w:hint="eastAsia" w:ascii="仿宋_GB2312"/>
                <w:sz w:val="24"/>
                <w:szCs w:val="24"/>
              </w:rPr>
              <w:t>12</w:t>
            </w:r>
          </w:p>
        </w:tc>
        <w:tc>
          <w:tcPr>
            <w:tcW w:w="3240" w:type="dxa"/>
            <w:noWrap w:val="0"/>
            <w:vAlign w:val="center"/>
          </w:tcPr>
          <w:p w14:paraId="1E54A3BE">
            <w:pPr>
              <w:pStyle w:val="3"/>
              <w:rPr>
                <w:rFonts w:hint="eastAsia" w:ascii="仿宋_GB2312"/>
                <w:sz w:val="24"/>
                <w:szCs w:val="24"/>
              </w:rPr>
            </w:pPr>
            <w:r>
              <w:rPr>
                <w:rFonts w:hint="eastAsia" w:ascii="仿宋_GB2312"/>
                <w:sz w:val="24"/>
                <w:szCs w:val="24"/>
              </w:rPr>
              <w:t>特殊工种持证上岗情况（主要有电工、焊工、制冷工、锅炉工、高空作业、消控值班、电梯安全管理人员、食堂工作人员、二次供水人员等）</w:t>
            </w:r>
          </w:p>
        </w:tc>
        <w:tc>
          <w:tcPr>
            <w:tcW w:w="540" w:type="dxa"/>
            <w:noWrap w:val="0"/>
            <w:vAlign w:val="center"/>
          </w:tcPr>
          <w:p w14:paraId="510A7527">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5CBF647E">
            <w:pPr>
              <w:pStyle w:val="3"/>
              <w:rPr>
                <w:rFonts w:hint="eastAsia" w:ascii="仿宋_GB2312"/>
                <w:sz w:val="24"/>
                <w:szCs w:val="24"/>
              </w:rPr>
            </w:pPr>
            <w:r>
              <w:rPr>
                <w:rFonts w:hint="eastAsia" w:ascii="仿宋_GB2312"/>
                <w:sz w:val="24"/>
                <w:szCs w:val="24"/>
              </w:rPr>
              <w:t>存在特殊工种无证上岗情况□\特殊工种证件过期□</w:t>
            </w:r>
          </w:p>
        </w:tc>
        <w:tc>
          <w:tcPr>
            <w:tcW w:w="2520" w:type="dxa"/>
            <w:noWrap w:val="0"/>
            <w:vAlign w:val="top"/>
          </w:tcPr>
          <w:p w14:paraId="6677A79D">
            <w:pPr>
              <w:pStyle w:val="3"/>
              <w:rPr>
                <w:rFonts w:hint="eastAsia" w:ascii="仿宋_GB2312"/>
                <w:sz w:val="24"/>
                <w:szCs w:val="24"/>
              </w:rPr>
            </w:pPr>
          </w:p>
        </w:tc>
        <w:tc>
          <w:tcPr>
            <w:tcW w:w="540" w:type="dxa"/>
            <w:noWrap w:val="0"/>
            <w:vAlign w:val="top"/>
          </w:tcPr>
          <w:p w14:paraId="5B48862B">
            <w:pPr>
              <w:pStyle w:val="3"/>
              <w:rPr>
                <w:rFonts w:hint="eastAsia" w:ascii="仿宋_GB2312"/>
                <w:sz w:val="24"/>
                <w:szCs w:val="24"/>
              </w:rPr>
            </w:pPr>
          </w:p>
        </w:tc>
      </w:tr>
      <w:tr w14:paraId="181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E88B9B5">
            <w:pPr>
              <w:pStyle w:val="3"/>
              <w:jc w:val="center"/>
              <w:rPr>
                <w:rFonts w:hint="eastAsia" w:ascii="仿宋_GB2312"/>
                <w:sz w:val="24"/>
                <w:szCs w:val="24"/>
              </w:rPr>
            </w:pPr>
            <w:r>
              <w:rPr>
                <w:rFonts w:hint="eastAsia" w:ascii="仿宋_GB2312"/>
                <w:sz w:val="24"/>
                <w:szCs w:val="24"/>
              </w:rPr>
              <w:t>13</w:t>
            </w:r>
          </w:p>
        </w:tc>
        <w:tc>
          <w:tcPr>
            <w:tcW w:w="3240" w:type="dxa"/>
            <w:noWrap w:val="0"/>
            <w:vAlign w:val="center"/>
          </w:tcPr>
          <w:p w14:paraId="65C289C4">
            <w:pPr>
              <w:pStyle w:val="3"/>
              <w:rPr>
                <w:rFonts w:hint="eastAsia" w:ascii="仿宋_GB2312"/>
                <w:sz w:val="24"/>
                <w:szCs w:val="24"/>
              </w:rPr>
            </w:pPr>
            <w:r>
              <w:rPr>
                <w:rFonts w:hint="eastAsia" w:ascii="仿宋_GB2312"/>
                <w:sz w:val="24"/>
                <w:szCs w:val="24"/>
              </w:rPr>
              <w:t>外包相关方监管情况</w:t>
            </w:r>
          </w:p>
        </w:tc>
        <w:tc>
          <w:tcPr>
            <w:tcW w:w="540" w:type="dxa"/>
            <w:noWrap w:val="0"/>
            <w:vAlign w:val="center"/>
          </w:tcPr>
          <w:p w14:paraId="11670C03">
            <w:pPr>
              <w:pStyle w:val="3"/>
              <w:jc w:val="center"/>
              <w:rPr>
                <w:rFonts w:hint="eastAsia" w:ascii="仿宋_GB2312"/>
                <w:sz w:val="24"/>
                <w:szCs w:val="24"/>
              </w:rPr>
            </w:pPr>
            <w:r>
              <w:rPr>
                <w:rFonts w:hint="eastAsia" w:ascii="仿宋_GB2312"/>
                <w:sz w:val="24"/>
                <w:szCs w:val="24"/>
              </w:rPr>
              <w:t>3</w:t>
            </w:r>
          </w:p>
        </w:tc>
        <w:tc>
          <w:tcPr>
            <w:tcW w:w="7020" w:type="dxa"/>
            <w:noWrap w:val="0"/>
            <w:vAlign w:val="top"/>
          </w:tcPr>
          <w:p w14:paraId="18FF39F2">
            <w:pPr>
              <w:pStyle w:val="3"/>
              <w:rPr>
                <w:rFonts w:hint="eastAsia" w:ascii="仿宋_GB2312"/>
                <w:sz w:val="24"/>
                <w:szCs w:val="24"/>
              </w:rPr>
            </w:pPr>
            <w:r>
              <w:rPr>
                <w:rFonts w:hint="eastAsia" w:ascii="仿宋_GB2312"/>
                <w:sz w:val="24"/>
                <w:szCs w:val="24"/>
              </w:rPr>
              <w:t>未能明确区分劳动关系和责任，存在劳务纠纷的可能□\监管不力□\未能</w:t>
            </w:r>
            <w:r>
              <w:rPr>
                <w:rFonts w:hint="eastAsia" w:ascii="仿宋_GB2312" w:hAnsi="华文仿宋"/>
                <w:sz w:val="24"/>
                <w:szCs w:val="24"/>
              </w:rPr>
              <w:t>及时沟通解决</w:t>
            </w:r>
            <w:r>
              <w:rPr>
                <w:rFonts w:hint="eastAsia" w:ascii="仿宋_GB2312"/>
                <w:sz w:val="24"/>
                <w:szCs w:val="24"/>
              </w:rPr>
              <w:t>外包单位出现的</w:t>
            </w:r>
            <w:r>
              <w:rPr>
                <w:rFonts w:hint="eastAsia" w:ascii="仿宋_GB2312" w:hAnsi="华文仿宋"/>
                <w:sz w:val="24"/>
                <w:szCs w:val="24"/>
              </w:rPr>
              <w:t>问题</w:t>
            </w:r>
            <w:r>
              <w:rPr>
                <w:rFonts w:hint="eastAsia" w:ascii="仿宋_GB2312"/>
                <w:sz w:val="24"/>
                <w:szCs w:val="24"/>
              </w:rPr>
              <w:t>□</w:t>
            </w:r>
          </w:p>
        </w:tc>
        <w:tc>
          <w:tcPr>
            <w:tcW w:w="2520" w:type="dxa"/>
            <w:noWrap w:val="0"/>
            <w:vAlign w:val="top"/>
          </w:tcPr>
          <w:p w14:paraId="44287B1A">
            <w:pPr>
              <w:pStyle w:val="3"/>
              <w:rPr>
                <w:rFonts w:hint="eastAsia" w:ascii="仿宋_GB2312"/>
                <w:sz w:val="24"/>
                <w:szCs w:val="24"/>
              </w:rPr>
            </w:pPr>
          </w:p>
        </w:tc>
        <w:tc>
          <w:tcPr>
            <w:tcW w:w="540" w:type="dxa"/>
            <w:noWrap w:val="0"/>
            <w:vAlign w:val="top"/>
          </w:tcPr>
          <w:p w14:paraId="2B575A5E">
            <w:pPr>
              <w:pStyle w:val="3"/>
              <w:rPr>
                <w:rFonts w:hint="eastAsia" w:ascii="仿宋_GB2312"/>
                <w:sz w:val="24"/>
                <w:szCs w:val="24"/>
              </w:rPr>
            </w:pPr>
          </w:p>
        </w:tc>
      </w:tr>
      <w:tr w14:paraId="3CEB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958ECA0">
            <w:pPr>
              <w:pStyle w:val="3"/>
              <w:jc w:val="center"/>
              <w:rPr>
                <w:rFonts w:hint="eastAsia" w:ascii="仿宋_GB2312"/>
                <w:sz w:val="24"/>
                <w:szCs w:val="24"/>
              </w:rPr>
            </w:pPr>
            <w:r>
              <w:rPr>
                <w:rFonts w:hint="eastAsia" w:ascii="仿宋_GB2312"/>
                <w:sz w:val="24"/>
                <w:szCs w:val="24"/>
              </w:rPr>
              <w:t>14</w:t>
            </w:r>
          </w:p>
        </w:tc>
        <w:tc>
          <w:tcPr>
            <w:tcW w:w="3240" w:type="dxa"/>
            <w:noWrap w:val="0"/>
            <w:vAlign w:val="center"/>
          </w:tcPr>
          <w:p w14:paraId="1090FFC6">
            <w:pPr>
              <w:pStyle w:val="3"/>
              <w:rPr>
                <w:rFonts w:hint="eastAsia" w:ascii="仿宋_GB2312"/>
                <w:sz w:val="24"/>
                <w:szCs w:val="24"/>
              </w:rPr>
            </w:pPr>
            <w:r>
              <w:rPr>
                <w:rFonts w:hint="eastAsia" w:ascii="仿宋_GB2312"/>
                <w:sz w:val="24"/>
                <w:szCs w:val="24"/>
              </w:rPr>
              <w:t>安全专项检查开展情况</w:t>
            </w:r>
          </w:p>
        </w:tc>
        <w:tc>
          <w:tcPr>
            <w:tcW w:w="540" w:type="dxa"/>
            <w:noWrap w:val="0"/>
            <w:vAlign w:val="center"/>
          </w:tcPr>
          <w:p w14:paraId="4E6FB2D0">
            <w:pPr>
              <w:pStyle w:val="3"/>
              <w:jc w:val="center"/>
              <w:rPr>
                <w:rFonts w:hint="eastAsia" w:ascii="仿宋_GB2312"/>
                <w:sz w:val="24"/>
                <w:szCs w:val="24"/>
              </w:rPr>
            </w:pPr>
            <w:r>
              <w:rPr>
                <w:rFonts w:hint="eastAsia" w:ascii="仿宋_GB2312"/>
                <w:sz w:val="24"/>
                <w:szCs w:val="24"/>
              </w:rPr>
              <w:t>7</w:t>
            </w:r>
          </w:p>
        </w:tc>
        <w:tc>
          <w:tcPr>
            <w:tcW w:w="7020" w:type="dxa"/>
            <w:noWrap w:val="0"/>
            <w:vAlign w:val="top"/>
          </w:tcPr>
          <w:p w14:paraId="7E6A1B8E">
            <w:pPr>
              <w:pStyle w:val="3"/>
              <w:rPr>
                <w:rFonts w:hint="eastAsia" w:ascii="仿宋_GB2312"/>
                <w:sz w:val="24"/>
                <w:szCs w:val="24"/>
              </w:rPr>
            </w:pPr>
            <w:r>
              <w:rPr>
                <w:rFonts w:hint="eastAsia" w:ascii="仿宋_GB2312"/>
                <w:sz w:val="24"/>
                <w:szCs w:val="24"/>
              </w:rPr>
              <w:t>未安排对管理工程每月至少两次安全专项检查□\对检查情况未作准确记录□\检查出问题未作处理或处理不完善□</w:t>
            </w:r>
          </w:p>
        </w:tc>
        <w:tc>
          <w:tcPr>
            <w:tcW w:w="2520" w:type="dxa"/>
            <w:noWrap w:val="0"/>
            <w:vAlign w:val="top"/>
          </w:tcPr>
          <w:p w14:paraId="3F4C2FC3">
            <w:pPr>
              <w:pStyle w:val="3"/>
              <w:rPr>
                <w:rFonts w:hint="eastAsia" w:ascii="仿宋_GB2312"/>
                <w:sz w:val="24"/>
                <w:szCs w:val="24"/>
              </w:rPr>
            </w:pPr>
          </w:p>
        </w:tc>
        <w:tc>
          <w:tcPr>
            <w:tcW w:w="540" w:type="dxa"/>
            <w:noWrap w:val="0"/>
            <w:vAlign w:val="top"/>
          </w:tcPr>
          <w:p w14:paraId="10CBD4F0">
            <w:pPr>
              <w:pStyle w:val="3"/>
              <w:rPr>
                <w:rFonts w:hint="eastAsia" w:ascii="仿宋_GB2312"/>
                <w:sz w:val="24"/>
                <w:szCs w:val="24"/>
              </w:rPr>
            </w:pPr>
          </w:p>
        </w:tc>
      </w:tr>
      <w:tr w14:paraId="6E46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A7F1AFF">
            <w:pPr>
              <w:pStyle w:val="3"/>
              <w:jc w:val="center"/>
              <w:rPr>
                <w:rFonts w:hint="eastAsia" w:ascii="仿宋_GB2312"/>
                <w:sz w:val="24"/>
                <w:szCs w:val="24"/>
              </w:rPr>
            </w:pPr>
            <w:r>
              <w:rPr>
                <w:rFonts w:hint="eastAsia" w:ascii="仿宋_GB2312"/>
                <w:sz w:val="24"/>
                <w:szCs w:val="24"/>
              </w:rPr>
              <w:t>15</w:t>
            </w:r>
          </w:p>
        </w:tc>
        <w:tc>
          <w:tcPr>
            <w:tcW w:w="3240" w:type="dxa"/>
            <w:noWrap w:val="0"/>
            <w:vAlign w:val="center"/>
          </w:tcPr>
          <w:p w14:paraId="45867BF7">
            <w:pPr>
              <w:pStyle w:val="3"/>
              <w:rPr>
                <w:rFonts w:hint="eastAsia" w:ascii="仿宋_GB2312"/>
                <w:sz w:val="24"/>
                <w:szCs w:val="24"/>
              </w:rPr>
            </w:pPr>
            <w:r>
              <w:rPr>
                <w:rFonts w:hint="eastAsia" w:ascii="仿宋_GB2312"/>
                <w:sz w:val="24"/>
                <w:szCs w:val="24"/>
              </w:rPr>
              <w:t>安全宣传、学习、考核等安全活动开展情况</w:t>
            </w:r>
          </w:p>
        </w:tc>
        <w:tc>
          <w:tcPr>
            <w:tcW w:w="540" w:type="dxa"/>
            <w:noWrap w:val="0"/>
            <w:vAlign w:val="center"/>
          </w:tcPr>
          <w:p w14:paraId="3D5261AF">
            <w:pPr>
              <w:pStyle w:val="3"/>
              <w:jc w:val="center"/>
              <w:rPr>
                <w:rFonts w:hint="eastAsia" w:ascii="仿宋_GB2312"/>
                <w:sz w:val="24"/>
                <w:szCs w:val="24"/>
              </w:rPr>
            </w:pPr>
            <w:r>
              <w:rPr>
                <w:rFonts w:hint="eastAsia" w:ascii="仿宋_GB2312"/>
                <w:sz w:val="24"/>
                <w:szCs w:val="24"/>
              </w:rPr>
              <w:t>3</w:t>
            </w:r>
          </w:p>
        </w:tc>
        <w:tc>
          <w:tcPr>
            <w:tcW w:w="7020" w:type="dxa"/>
            <w:noWrap w:val="0"/>
            <w:vAlign w:val="top"/>
          </w:tcPr>
          <w:p w14:paraId="166D2BE7">
            <w:pPr>
              <w:pStyle w:val="3"/>
              <w:rPr>
                <w:rFonts w:hint="eastAsia" w:ascii="仿宋_GB2312"/>
                <w:sz w:val="24"/>
                <w:szCs w:val="24"/>
              </w:rPr>
            </w:pPr>
            <w:r>
              <w:rPr>
                <w:rFonts w:hint="eastAsia" w:ascii="仿宋_GB2312"/>
                <w:sz w:val="24"/>
                <w:szCs w:val="24"/>
              </w:rPr>
              <w:t>未组织开展安全活动□\未组织全员安全消防活动或演练□\未做好活动记录□</w:t>
            </w:r>
          </w:p>
        </w:tc>
        <w:tc>
          <w:tcPr>
            <w:tcW w:w="2520" w:type="dxa"/>
            <w:noWrap w:val="0"/>
            <w:vAlign w:val="top"/>
          </w:tcPr>
          <w:p w14:paraId="37A64F95">
            <w:pPr>
              <w:pStyle w:val="3"/>
              <w:rPr>
                <w:rFonts w:hint="eastAsia" w:ascii="仿宋_GB2312"/>
                <w:sz w:val="24"/>
                <w:szCs w:val="24"/>
              </w:rPr>
            </w:pPr>
          </w:p>
        </w:tc>
        <w:tc>
          <w:tcPr>
            <w:tcW w:w="540" w:type="dxa"/>
            <w:noWrap w:val="0"/>
            <w:vAlign w:val="top"/>
          </w:tcPr>
          <w:p w14:paraId="529D9783">
            <w:pPr>
              <w:pStyle w:val="3"/>
              <w:rPr>
                <w:rFonts w:hint="eastAsia" w:ascii="仿宋_GB2312"/>
                <w:sz w:val="24"/>
                <w:szCs w:val="24"/>
              </w:rPr>
            </w:pPr>
          </w:p>
        </w:tc>
      </w:tr>
      <w:tr w14:paraId="2A8A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782C3D95">
            <w:pPr>
              <w:pStyle w:val="3"/>
              <w:jc w:val="center"/>
              <w:rPr>
                <w:rFonts w:hint="eastAsia" w:ascii="仿宋_GB2312"/>
                <w:sz w:val="24"/>
                <w:szCs w:val="24"/>
              </w:rPr>
            </w:pPr>
            <w:r>
              <w:rPr>
                <w:rFonts w:hint="eastAsia" w:ascii="仿宋_GB2312"/>
                <w:sz w:val="24"/>
                <w:szCs w:val="24"/>
              </w:rPr>
              <w:t>16</w:t>
            </w:r>
          </w:p>
        </w:tc>
        <w:tc>
          <w:tcPr>
            <w:tcW w:w="3240" w:type="dxa"/>
            <w:noWrap w:val="0"/>
            <w:vAlign w:val="center"/>
          </w:tcPr>
          <w:p w14:paraId="26DD3810">
            <w:pPr>
              <w:pStyle w:val="3"/>
              <w:rPr>
                <w:rFonts w:hint="eastAsia" w:ascii="仿宋_GB2312"/>
                <w:sz w:val="24"/>
                <w:szCs w:val="24"/>
              </w:rPr>
            </w:pPr>
            <w:r>
              <w:rPr>
                <w:rFonts w:hint="eastAsia" w:ascii="仿宋_GB2312"/>
                <w:sz w:val="24"/>
                <w:szCs w:val="24"/>
              </w:rPr>
              <w:t>车辆安全管理情况</w:t>
            </w:r>
          </w:p>
        </w:tc>
        <w:tc>
          <w:tcPr>
            <w:tcW w:w="540" w:type="dxa"/>
            <w:noWrap w:val="0"/>
            <w:vAlign w:val="center"/>
          </w:tcPr>
          <w:p w14:paraId="27733E33">
            <w:pPr>
              <w:pStyle w:val="3"/>
              <w:jc w:val="center"/>
              <w:rPr>
                <w:rFonts w:hint="eastAsia" w:ascii="仿宋_GB2312"/>
                <w:sz w:val="24"/>
                <w:szCs w:val="24"/>
              </w:rPr>
            </w:pPr>
            <w:r>
              <w:rPr>
                <w:rFonts w:hint="eastAsia" w:ascii="仿宋_GB2312"/>
                <w:sz w:val="24"/>
                <w:szCs w:val="24"/>
              </w:rPr>
              <w:t>3</w:t>
            </w:r>
          </w:p>
        </w:tc>
        <w:tc>
          <w:tcPr>
            <w:tcW w:w="7020" w:type="dxa"/>
            <w:noWrap w:val="0"/>
            <w:vAlign w:val="top"/>
          </w:tcPr>
          <w:p w14:paraId="1D571CB6">
            <w:pPr>
              <w:pStyle w:val="3"/>
              <w:rPr>
                <w:rFonts w:hint="eastAsia" w:ascii="仿宋_GB2312"/>
                <w:sz w:val="24"/>
                <w:szCs w:val="24"/>
              </w:rPr>
            </w:pPr>
            <w:r>
              <w:rPr>
                <w:rFonts w:hint="eastAsia" w:ascii="仿宋_GB2312"/>
                <w:sz w:val="24"/>
                <w:szCs w:val="24"/>
              </w:rPr>
              <w:t>未对驾驶员进行安全教育□\无驾驶员安全教育记录□\车辆带病行驶□\发生交通意外□</w:t>
            </w:r>
          </w:p>
        </w:tc>
        <w:tc>
          <w:tcPr>
            <w:tcW w:w="2520" w:type="dxa"/>
            <w:noWrap w:val="0"/>
            <w:vAlign w:val="top"/>
          </w:tcPr>
          <w:p w14:paraId="7B99F833">
            <w:pPr>
              <w:pStyle w:val="3"/>
              <w:rPr>
                <w:rFonts w:hint="eastAsia" w:ascii="仿宋_GB2312"/>
                <w:sz w:val="24"/>
                <w:szCs w:val="24"/>
              </w:rPr>
            </w:pPr>
          </w:p>
        </w:tc>
        <w:tc>
          <w:tcPr>
            <w:tcW w:w="540" w:type="dxa"/>
            <w:noWrap w:val="0"/>
            <w:vAlign w:val="top"/>
          </w:tcPr>
          <w:p w14:paraId="2A5C1268">
            <w:pPr>
              <w:pStyle w:val="3"/>
              <w:rPr>
                <w:rFonts w:hint="eastAsia" w:ascii="仿宋_GB2312"/>
                <w:sz w:val="24"/>
                <w:szCs w:val="24"/>
              </w:rPr>
            </w:pPr>
          </w:p>
        </w:tc>
      </w:tr>
      <w:tr w14:paraId="2FCF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FCE0914">
            <w:pPr>
              <w:pStyle w:val="3"/>
              <w:jc w:val="center"/>
              <w:rPr>
                <w:rFonts w:hint="eastAsia" w:ascii="仿宋_GB2312"/>
                <w:sz w:val="24"/>
                <w:szCs w:val="24"/>
              </w:rPr>
            </w:pPr>
            <w:r>
              <w:rPr>
                <w:rFonts w:hint="eastAsia" w:ascii="仿宋_GB2312"/>
                <w:sz w:val="24"/>
                <w:szCs w:val="24"/>
              </w:rPr>
              <w:t>17</w:t>
            </w:r>
          </w:p>
        </w:tc>
        <w:tc>
          <w:tcPr>
            <w:tcW w:w="3240" w:type="dxa"/>
            <w:noWrap w:val="0"/>
            <w:vAlign w:val="center"/>
          </w:tcPr>
          <w:p w14:paraId="77A08126">
            <w:pPr>
              <w:pStyle w:val="3"/>
              <w:rPr>
                <w:rFonts w:hint="eastAsia" w:ascii="仿宋_GB2312"/>
                <w:sz w:val="24"/>
                <w:szCs w:val="24"/>
              </w:rPr>
            </w:pPr>
            <w:r>
              <w:rPr>
                <w:rFonts w:hint="eastAsia" w:ascii="仿宋_GB2312"/>
                <w:sz w:val="24"/>
                <w:szCs w:val="24"/>
              </w:rPr>
              <w:t>劳动保护情况</w:t>
            </w:r>
          </w:p>
        </w:tc>
        <w:tc>
          <w:tcPr>
            <w:tcW w:w="540" w:type="dxa"/>
            <w:noWrap w:val="0"/>
            <w:vAlign w:val="center"/>
          </w:tcPr>
          <w:p w14:paraId="44D2FDA6">
            <w:pPr>
              <w:pStyle w:val="3"/>
              <w:jc w:val="center"/>
              <w:rPr>
                <w:rFonts w:hint="eastAsia" w:ascii="仿宋_GB2312"/>
                <w:sz w:val="24"/>
                <w:szCs w:val="24"/>
              </w:rPr>
            </w:pPr>
            <w:r>
              <w:rPr>
                <w:rFonts w:hint="eastAsia" w:ascii="仿宋_GB2312"/>
                <w:sz w:val="24"/>
                <w:szCs w:val="24"/>
              </w:rPr>
              <w:t>3</w:t>
            </w:r>
          </w:p>
        </w:tc>
        <w:tc>
          <w:tcPr>
            <w:tcW w:w="7020" w:type="dxa"/>
            <w:noWrap w:val="0"/>
            <w:vAlign w:val="top"/>
          </w:tcPr>
          <w:p w14:paraId="0BBF566E">
            <w:pPr>
              <w:pStyle w:val="3"/>
              <w:rPr>
                <w:rFonts w:hint="eastAsia" w:ascii="仿宋_GB2312"/>
                <w:sz w:val="24"/>
                <w:szCs w:val="24"/>
              </w:rPr>
            </w:pPr>
            <w:r>
              <w:rPr>
                <w:rFonts w:hint="eastAsia" w:ascii="仿宋_GB2312"/>
                <w:sz w:val="24"/>
                <w:szCs w:val="24"/>
              </w:rPr>
              <w:t>采购的劳动保护用品不正规或质量不合格（质检合格证未能留存）□\未能按工作性质发放劳动保护用品□\个人签领记录未能留存□</w:t>
            </w:r>
          </w:p>
        </w:tc>
        <w:tc>
          <w:tcPr>
            <w:tcW w:w="2520" w:type="dxa"/>
            <w:noWrap w:val="0"/>
            <w:vAlign w:val="top"/>
          </w:tcPr>
          <w:p w14:paraId="609FE5C6">
            <w:pPr>
              <w:pStyle w:val="3"/>
              <w:rPr>
                <w:rFonts w:hint="eastAsia" w:ascii="仿宋_GB2312"/>
                <w:sz w:val="24"/>
                <w:szCs w:val="24"/>
              </w:rPr>
            </w:pPr>
          </w:p>
        </w:tc>
        <w:tc>
          <w:tcPr>
            <w:tcW w:w="540" w:type="dxa"/>
            <w:noWrap w:val="0"/>
            <w:vAlign w:val="top"/>
          </w:tcPr>
          <w:p w14:paraId="39E933F0">
            <w:pPr>
              <w:pStyle w:val="3"/>
              <w:rPr>
                <w:rFonts w:hint="eastAsia" w:ascii="仿宋_GB2312"/>
                <w:sz w:val="24"/>
                <w:szCs w:val="24"/>
              </w:rPr>
            </w:pPr>
          </w:p>
        </w:tc>
      </w:tr>
      <w:tr w14:paraId="597E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3514DDC">
            <w:pPr>
              <w:pStyle w:val="3"/>
              <w:jc w:val="center"/>
              <w:rPr>
                <w:rFonts w:hint="eastAsia" w:ascii="仿宋_GB2312"/>
                <w:sz w:val="24"/>
                <w:szCs w:val="24"/>
              </w:rPr>
            </w:pPr>
            <w:r>
              <w:rPr>
                <w:rFonts w:hint="eastAsia" w:ascii="仿宋_GB2312"/>
                <w:sz w:val="24"/>
                <w:szCs w:val="24"/>
              </w:rPr>
              <w:t>18</w:t>
            </w:r>
          </w:p>
        </w:tc>
        <w:tc>
          <w:tcPr>
            <w:tcW w:w="3240" w:type="dxa"/>
            <w:noWrap w:val="0"/>
            <w:vAlign w:val="center"/>
          </w:tcPr>
          <w:p w14:paraId="26B832D0">
            <w:pPr>
              <w:pStyle w:val="3"/>
              <w:rPr>
                <w:rFonts w:hint="eastAsia" w:ascii="仿宋_GB2312"/>
                <w:sz w:val="24"/>
                <w:szCs w:val="24"/>
              </w:rPr>
            </w:pPr>
            <w:r>
              <w:rPr>
                <w:rFonts w:hint="eastAsia" w:ascii="仿宋_GB2312"/>
                <w:sz w:val="24"/>
                <w:szCs w:val="24"/>
              </w:rPr>
              <w:t>员工安全培训教育情况</w:t>
            </w:r>
          </w:p>
        </w:tc>
        <w:tc>
          <w:tcPr>
            <w:tcW w:w="540" w:type="dxa"/>
            <w:noWrap w:val="0"/>
            <w:vAlign w:val="center"/>
          </w:tcPr>
          <w:p w14:paraId="51CF1FF3">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7CDD8D07">
            <w:pPr>
              <w:pStyle w:val="3"/>
              <w:rPr>
                <w:rFonts w:hint="eastAsia" w:ascii="仿宋_GB2312"/>
                <w:sz w:val="24"/>
                <w:szCs w:val="24"/>
              </w:rPr>
            </w:pPr>
            <w:r>
              <w:rPr>
                <w:rFonts w:hint="eastAsia" w:ascii="仿宋_GB2312"/>
                <w:sz w:val="24"/>
                <w:szCs w:val="24"/>
              </w:rPr>
              <w:t>未定期开展全员安全管理和消防工作常识教育和考核□\未定期开展岗位安全技能教育和考核□\未建立员工培训记录或档案□\无详细的安全培训记录和考核记录□</w:t>
            </w:r>
          </w:p>
        </w:tc>
        <w:tc>
          <w:tcPr>
            <w:tcW w:w="2520" w:type="dxa"/>
            <w:noWrap w:val="0"/>
            <w:vAlign w:val="top"/>
          </w:tcPr>
          <w:p w14:paraId="094ED473">
            <w:pPr>
              <w:pStyle w:val="3"/>
              <w:rPr>
                <w:rFonts w:hint="eastAsia" w:ascii="仿宋_GB2312"/>
                <w:sz w:val="24"/>
                <w:szCs w:val="24"/>
              </w:rPr>
            </w:pPr>
          </w:p>
        </w:tc>
        <w:tc>
          <w:tcPr>
            <w:tcW w:w="540" w:type="dxa"/>
            <w:noWrap w:val="0"/>
            <w:vAlign w:val="top"/>
          </w:tcPr>
          <w:p w14:paraId="5D8B0EDE">
            <w:pPr>
              <w:pStyle w:val="3"/>
              <w:rPr>
                <w:rFonts w:hint="eastAsia" w:ascii="仿宋_GB2312"/>
                <w:sz w:val="24"/>
                <w:szCs w:val="24"/>
              </w:rPr>
            </w:pPr>
          </w:p>
        </w:tc>
      </w:tr>
      <w:tr w14:paraId="3D57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C378DAE">
            <w:pPr>
              <w:pStyle w:val="3"/>
              <w:jc w:val="center"/>
              <w:rPr>
                <w:rFonts w:hint="eastAsia" w:ascii="仿宋_GB2312"/>
                <w:sz w:val="24"/>
                <w:szCs w:val="24"/>
              </w:rPr>
            </w:pPr>
            <w:r>
              <w:rPr>
                <w:rFonts w:hint="eastAsia" w:ascii="仿宋_GB2312"/>
                <w:sz w:val="24"/>
                <w:szCs w:val="24"/>
              </w:rPr>
              <w:t>19</w:t>
            </w:r>
          </w:p>
        </w:tc>
        <w:tc>
          <w:tcPr>
            <w:tcW w:w="3240" w:type="dxa"/>
            <w:noWrap w:val="0"/>
            <w:vAlign w:val="center"/>
          </w:tcPr>
          <w:p w14:paraId="33BC8482">
            <w:pPr>
              <w:pStyle w:val="3"/>
              <w:rPr>
                <w:rFonts w:hint="eastAsia" w:ascii="仿宋_GB2312"/>
                <w:sz w:val="24"/>
                <w:szCs w:val="24"/>
              </w:rPr>
            </w:pPr>
            <w:r>
              <w:rPr>
                <w:rFonts w:hint="eastAsia" w:ascii="仿宋_GB2312" w:hAnsi="华文仿宋"/>
                <w:sz w:val="24"/>
                <w:szCs w:val="24"/>
              </w:rPr>
              <w:t>各类月度及专项安全报表上交情况</w:t>
            </w:r>
          </w:p>
        </w:tc>
        <w:tc>
          <w:tcPr>
            <w:tcW w:w="540" w:type="dxa"/>
            <w:noWrap w:val="0"/>
            <w:vAlign w:val="center"/>
          </w:tcPr>
          <w:p w14:paraId="3CCB6EB2">
            <w:pPr>
              <w:pStyle w:val="3"/>
              <w:jc w:val="center"/>
              <w:rPr>
                <w:rFonts w:hint="eastAsia" w:ascii="仿宋_GB2312"/>
                <w:sz w:val="24"/>
                <w:szCs w:val="24"/>
              </w:rPr>
            </w:pPr>
            <w:r>
              <w:rPr>
                <w:rFonts w:hint="eastAsia" w:ascii="仿宋_GB2312"/>
                <w:sz w:val="24"/>
                <w:szCs w:val="24"/>
              </w:rPr>
              <w:t>3</w:t>
            </w:r>
          </w:p>
        </w:tc>
        <w:tc>
          <w:tcPr>
            <w:tcW w:w="7020" w:type="dxa"/>
            <w:noWrap w:val="0"/>
            <w:vAlign w:val="top"/>
          </w:tcPr>
          <w:p w14:paraId="4ACE24ED">
            <w:pPr>
              <w:pStyle w:val="3"/>
              <w:rPr>
                <w:rFonts w:hint="eastAsia" w:ascii="仿宋_GB2312"/>
                <w:sz w:val="24"/>
                <w:szCs w:val="24"/>
              </w:rPr>
            </w:pPr>
            <w:r>
              <w:rPr>
                <w:rFonts w:hint="eastAsia" w:ascii="仿宋_GB2312" w:hAnsi="华文仿宋"/>
                <w:sz w:val="24"/>
                <w:szCs w:val="24"/>
              </w:rPr>
              <w:t>未在规定时限内上报各类月度及专项安全报表</w:t>
            </w:r>
            <w:r>
              <w:rPr>
                <w:rFonts w:hint="eastAsia" w:ascii="仿宋_GB2312"/>
                <w:sz w:val="24"/>
                <w:szCs w:val="24"/>
              </w:rPr>
              <w:t>□\</w:t>
            </w:r>
            <w:r>
              <w:rPr>
                <w:rFonts w:hint="eastAsia" w:ascii="仿宋_GB2312" w:hAnsi="华文仿宋"/>
                <w:sz w:val="24"/>
                <w:szCs w:val="24"/>
              </w:rPr>
              <w:t>报</w:t>
            </w:r>
            <w:r>
              <w:rPr>
                <w:rFonts w:hint="eastAsia" w:ascii="仿宋_GB2312"/>
                <w:sz w:val="24"/>
                <w:szCs w:val="24"/>
              </w:rPr>
              <w:t>表不能准确、及时反映安全管理动态信息□</w:t>
            </w:r>
          </w:p>
        </w:tc>
        <w:tc>
          <w:tcPr>
            <w:tcW w:w="2520" w:type="dxa"/>
            <w:noWrap w:val="0"/>
            <w:vAlign w:val="top"/>
          </w:tcPr>
          <w:p w14:paraId="15B2F93E">
            <w:pPr>
              <w:pStyle w:val="3"/>
              <w:rPr>
                <w:rFonts w:hint="eastAsia" w:ascii="仿宋_GB2312"/>
                <w:sz w:val="24"/>
                <w:szCs w:val="24"/>
              </w:rPr>
            </w:pPr>
          </w:p>
        </w:tc>
        <w:tc>
          <w:tcPr>
            <w:tcW w:w="540" w:type="dxa"/>
            <w:noWrap w:val="0"/>
            <w:vAlign w:val="top"/>
          </w:tcPr>
          <w:p w14:paraId="6681B253">
            <w:pPr>
              <w:pStyle w:val="3"/>
              <w:rPr>
                <w:rFonts w:hint="eastAsia" w:ascii="仿宋_GB2312"/>
                <w:sz w:val="24"/>
                <w:szCs w:val="24"/>
              </w:rPr>
            </w:pPr>
          </w:p>
        </w:tc>
      </w:tr>
      <w:tr w14:paraId="240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6303379">
            <w:pPr>
              <w:pStyle w:val="3"/>
              <w:jc w:val="center"/>
              <w:rPr>
                <w:rFonts w:hint="eastAsia" w:ascii="仿宋_GB2312"/>
                <w:sz w:val="24"/>
                <w:szCs w:val="24"/>
              </w:rPr>
            </w:pPr>
            <w:r>
              <w:rPr>
                <w:rFonts w:hint="eastAsia" w:ascii="仿宋_GB2312"/>
                <w:sz w:val="24"/>
                <w:szCs w:val="24"/>
              </w:rPr>
              <w:t>20</w:t>
            </w:r>
          </w:p>
        </w:tc>
        <w:tc>
          <w:tcPr>
            <w:tcW w:w="3240" w:type="dxa"/>
            <w:noWrap w:val="0"/>
            <w:vAlign w:val="center"/>
          </w:tcPr>
          <w:p w14:paraId="0C280C6C">
            <w:pPr>
              <w:pStyle w:val="3"/>
              <w:rPr>
                <w:rFonts w:hint="eastAsia" w:ascii="仿宋_GB2312"/>
                <w:sz w:val="24"/>
                <w:szCs w:val="24"/>
              </w:rPr>
            </w:pPr>
            <w:r>
              <w:rPr>
                <w:rFonts w:hint="eastAsia" w:ascii="仿宋_GB2312"/>
                <w:sz w:val="24"/>
                <w:szCs w:val="24"/>
              </w:rPr>
              <w:t>安全档案建立及管理情况</w:t>
            </w:r>
          </w:p>
        </w:tc>
        <w:tc>
          <w:tcPr>
            <w:tcW w:w="540" w:type="dxa"/>
            <w:noWrap w:val="0"/>
            <w:vAlign w:val="center"/>
          </w:tcPr>
          <w:p w14:paraId="1A0BB8CC">
            <w:pPr>
              <w:pStyle w:val="3"/>
              <w:jc w:val="center"/>
              <w:rPr>
                <w:rFonts w:hint="eastAsia" w:ascii="仿宋_GB2312"/>
                <w:sz w:val="24"/>
                <w:szCs w:val="24"/>
              </w:rPr>
            </w:pPr>
            <w:r>
              <w:rPr>
                <w:rFonts w:hint="eastAsia" w:ascii="仿宋_GB2312"/>
                <w:sz w:val="24"/>
                <w:szCs w:val="24"/>
              </w:rPr>
              <w:t>5</w:t>
            </w:r>
          </w:p>
        </w:tc>
        <w:tc>
          <w:tcPr>
            <w:tcW w:w="7020" w:type="dxa"/>
            <w:noWrap w:val="0"/>
            <w:vAlign w:val="top"/>
          </w:tcPr>
          <w:p w14:paraId="1D879F9A">
            <w:pPr>
              <w:pStyle w:val="3"/>
              <w:rPr>
                <w:rFonts w:hint="eastAsia" w:ascii="仿宋_GB2312"/>
                <w:sz w:val="24"/>
                <w:szCs w:val="24"/>
              </w:rPr>
            </w:pPr>
            <w:r>
              <w:rPr>
                <w:rFonts w:hint="eastAsia" w:ascii="仿宋_GB2312"/>
                <w:sz w:val="24"/>
                <w:szCs w:val="24"/>
              </w:rPr>
              <w:t>未能按照公司统一要求建立安全管理工作的痕迹及档案资料管理□\安全档案未及时规整□\安全档案不完整、不完善□</w:t>
            </w:r>
          </w:p>
        </w:tc>
        <w:tc>
          <w:tcPr>
            <w:tcW w:w="2520" w:type="dxa"/>
            <w:noWrap w:val="0"/>
            <w:vAlign w:val="top"/>
          </w:tcPr>
          <w:p w14:paraId="442C958F">
            <w:pPr>
              <w:pStyle w:val="3"/>
              <w:rPr>
                <w:rFonts w:hint="eastAsia" w:ascii="仿宋_GB2312"/>
                <w:sz w:val="24"/>
                <w:szCs w:val="24"/>
              </w:rPr>
            </w:pPr>
          </w:p>
        </w:tc>
        <w:tc>
          <w:tcPr>
            <w:tcW w:w="540" w:type="dxa"/>
            <w:noWrap w:val="0"/>
            <w:vAlign w:val="top"/>
          </w:tcPr>
          <w:p w14:paraId="64EAB246">
            <w:pPr>
              <w:pStyle w:val="3"/>
              <w:rPr>
                <w:rFonts w:hint="eastAsia" w:ascii="仿宋_GB2312"/>
                <w:sz w:val="24"/>
                <w:szCs w:val="24"/>
              </w:rPr>
            </w:pPr>
          </w:p>
        </w:tc>
      </w:tr>
      <w:tr w14:paraId="5F54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68" w:type="dxa"/>
            <w:noWrap w:val="0"/>
            <w:vAlign w:val="center"/>
          </w:tcPr>
          <w:p w14:paraId="7C04239B">
            <w:pPr>
              <w:pStyle w:val="3"/>
              <w:jc w:val="center"/>
              <w:rPr>
                <w:rFonts w:hint="eastAsia" w:ascii="仿宋_GB2312"/>
                <w:sz w:val="24"/>
                <w:szCs w:val="24"/>
              </w:rPr>
            </w:pPr>
          </w:p>
        </w:tc>
        <w:tc>
          <w:tcPr>
            <w:tcW w:w="3240" w:type="dxa"/>
            <w:noWrap w:val="0"/>
            <w:vAlign w:val="center"/>
          </w:tcPr>
          <w:p w14:paraId="04C40B0E">
            <w:pPr>
              <w:pStyle w:val="3"/>
              <w:rPr>
                <w:rFonts w:hint="eastAsia" w:ascii="仿宋_GB2312"/>
                <w:sz w:val="24"/>
                <w:szCs w:val="24"/>
              </w:rPr>
            </w:pPr>
          </w:p>
        </w:tc>
        <w:tc>
          <w:tcPr>
            <w:tcW w:w="540" w:type="dxa"/>
            <w:noWrap w:val="0"/>
            <w:vAlign w:val="center"/>
          </w:tcPr>
          <w:p w14:paraId="0B18503C">
            <w:pPr>
              <w:pStyle w:val="3"/>
              <w:jc w:val="center"/>
              <w:rPr>
                <w:rFonts w:hint="eastAsia" w:ascii="仿宋_GB2312"/>
                <w:sz w:val="24"/>
                <w:szCs w:val="24"/>
              </w:rPr>
            </w:pPr>
            <w:r>
              <w:rPr>
                <w:rFonts w:hint="eastAsia" w:ascii="仿宋_GB2312"/>
                <w:sz w:val="24"/>
                <w:szCs w:val="24"/>
              </w:rPr>
              <w:t>100</w:t>
            </w:r>
          </w:p>
        </w:tc>
        <w:tc>
          <w:tcPr>
            <w:tcW w:w="7020" w:type="dxa"/>
            <w:noWrap w:val="0"/>
            <w:vAlign w:val="top"/>
          </w:tcPr>
          <w:p w14:paraId="3B8EFB79">
            <w:pPr>
              <w:pStyle w:val="3"/>
              <w:rPr>
                <w:rFonts w:hint="eastAsia" w:ascii="仿宋_GB2312"/>
                <w:sz w:val="24"/>
                <w:szCs w:val="24"/>
              </w:rPr>
            </w:pPr>
          </w:p>
        </w:tc>
        <w:tc>
          <w:tcPr>
            <w:tcW w:w="2520" w:type="dxa"/>
            <w:noWrap w:val="0"/>
            <w:vAlign w:val="top"/>
          </w:tcPr>
          <w:p w14:paraId="50AA2D42">
            <w:pPr>
              <w:pStyle w:val="3"/>
              <w:rPr>
                <w:rFonts w:hint="eastAsia" w:ascii="仿宋_GB2312"/>
                <w:sz w:val="24"/>
                <w:szCs w:val="24"/>
              </w:rPr>
            </w:pPr>
          </w:p>
        </w:tc>
        <w:tc>
          <w:tcPr>
            <w:tcW w:w="540" w:type="dxa"/>
            <w:noWrap w:val="0"/>
            <w:vAlign w:val="top"/>
          </w:tcPr>
          <w:p w14:paraId="7B9270E9">
            <w:pPr>
              <w:pStyle w:val="3"/>
              <w:rPr>
                <w:rFonts w:hint="eastAsia" w:ascii="仿宋_GB2312"/>
                <w:sz w:val="24"/>
                <w:szCs w:val="24"/>
              </w:rPr>
            </w:pPr>
          </w:p>
        </w:tc>
      </w:tr>
    </w:tbl>
    <w:p w14:paraId="6BD6B6CE">
      <w:pPr>
        <w:pStyle w:val="3"/>
        <w:rPr>
          <w:rFonts w:ascii="仿宋_GB2312" w:hAnsi="华文宋体" w:cs="宋体"/>
          <w:color w:val="000000"/>
          <w:kern w:val="0"/>
          <w:szCs w:val="28"/>
        </w:rPr>
        <w:sectPr>
          <w:pgSz w:w="16838" w:h="11906" w:orient="landscape"/>
          <w:pgMar w:top="1797" w:right="1440" w:bottom="1797" w:left="1440" w:header="851" w:footer="992" w:gutter="0"/>
          <w:cols w:space="425" w:num="1"/>
          <w:docGrid w:type="lines" w:linePitch="312" w:charSpace="0"/>
        </w:sectPr>
      </w:pPr>
    </w:p>
    <w:p w14:paraId="6583F6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4610">
    <w:pPr>
      <w:pStyle w:val="4"/>
      <w:rPr>
        <w:rFonts w:ascii="宋体" w:hAnsi="宋体" w:eastAsia="宋体"/>
        <w:sz w:val="21"/>
      </w:rPr>
    </w:pPr>
    <w:r>
      <w:rPr>
        <w:rFonts w:hint="eastAsia" w:ascii="宋体" w:hAnsi="宋体" w:eastAsia="宋体"/>
        <w:sz w:val="21"/>
      </w:rPr>
      <w:t>更多资料 淘宝搜索店铺 商道学院  微信 76650998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902E6"/>
    <w:rsid w:val="72F9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3"/>
    <w:qFormat/>
    <w:uiPriority w:val="0"/>
    <w:pPr>
      <w:spacing w:after="120"/>
      <w:ind w:left="420" w:leftChars="200"/>
    </w:pPr>
    <w:rPr>
      <w:rFonts w:eastAsia="宋体"/>
      <w:sz w:val="21"/>
      <w:szCs w:val="24"/>
    </w:rPr>
  </w:style>
  <w:style w:type="paragraph" w:customStyle="1" w:styleId="3">
    <w:name w:val="正文1"/>
    <w:qFormat/>
    <w:uiPriority w:val="0"/>
    <w:pPr>
      <w:widowControl w:val="0"/>
      <w:jc w:val="both"/>
    </w:pPr>
    <w:rPr>
      <w:rFonts w:ascii="Times New Roman" w:hAnsi="Times New Roman" w:eastAsia="仿宋_GB2312" w:cs="Times New Roman"/>
      <w:kern w:val="2"/>
      <w:sz w:val="28"/>
      <w:szCs w:val="32"/>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3"/>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2024-11-27T08:33:00Z</dcterms:created>
  <dc:creator>baby</dc:creator>
  <cp:lastModifiedBy>baby</cp:lastModifiedBy>
  <dcterms:modified xsi:type="dcterms:W3CDTF">2024-11-27T08:33:57Z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E6E6E512B01E4BDD99CB4F75A55B5E99_11</vt:lpwstr>
  </property>
</Properties>
</file>