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A86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6" w:beforeAutospacing="0" w:line="15" w:lineRule="atLeast"/>
        <w:ind w:left="0" w:right="0"/>
        <w:jc w:val="center"/>
      </w:pPr>
      <w:bookmarkStart w:id="0" w:name="_GoBack"/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  <w:lang w:eastAsia="zh-CN"/>
        </w:rPr>
        <w:t>南充碧桂园项目</w:t>
      </w: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bdr w:val="none" w:color="auto" w:sz="0" w:space="0"/>
          <w:shd w:val="clear" w:fill="FFFFFF"/>
        </w:rPr>
        <w:t>安全生产检查制度</w:t>
      </w:r>
    </w:p>
    <w:bookmarkEnd w:id="0"/>
    <w:p w14:paraId="62BD0B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Autospacing="1" w:afterAutospacing="1" w:line="390" w:lineRule="atLeast"/>
        <w:ind w:left="0" w:right="0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  <w:lang w:val="en-US" w:eastAsia="zh-CN"/>
        </w:rPr>
        <w:t>一、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检查频率和责任划分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‌：</w:t>
      </w:r>
    </w:p>
    <w:p w14:paraId="6120364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="360" w:leftChars="0" w:right="0" w:rightChars="0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1、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  <w:t>物管部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专职检查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‌：安全员每天对全小区进行三至五次巡视检查，每月进行一次全面安全检查。</w:t>
      </w:r>
    </w:p>
    <w:p w14:paraId="12E5C90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="360" w:leftChars="0" w:right="0" w:rightChars="0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2、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安全大检查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‌：每年的6月和12月进行由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zh-CN"/>
        </w:rPr>
        <w:t>项目经理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组织的全公司安全大检查。</w:t>
      </w:r>
    </w:p>
    <w:p w14:paraId="2636A4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Autospacing="1" w:afterAutospacing="1" w:line="390" w:lineRule="atLeast"/>
        <w:ind w:left="0" w:right="0"/>
        <w:rPr>
          <w:rFonts w:hint="default" w:ascii="Arial" w:hAnsi="Arial" w:eastAsia="Arial" w:cs="Arial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  <w:lang w:val="en-US" w:eastAsia="zh-CN"/>
        </w:rPr>
        <w:t>二、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检查内容和标准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‌：</w:t>
      </w:r>
    </w:p>
    <w:p w14:paraId="11FAE65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="360" w:leftChars="0" w:right="0" w:rightChars="0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1、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消防设施和器材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‌：如灭火器、自动喷水灭火系统等，需要按照国家标准配置和设置，并经过专业单位检测和维护，设置明显的标志。</w:t>
      </w:r>
    </w:p>
    <w:p w14:paraId="6A7F346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="360" w:leftChars="0" w:right="0" w:rightChars="0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2、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安全出口和疏散通道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‌：如楼梯间、过道等，需要保持畅通，不能被物品堵塞或阻挡。</w:t>
      </w:r>
    </w:p>
    <w:p w14:paraId="6B006DB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="360" w:leftChars="0" w:right="0" w:rightChars="0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3、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电气系统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‌：如配电箱、插座、开关等，确保电气系统安全运行。</w:t>
      </w:r>
    </w:p>
    <w:p w14:paraId="0C8119D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="360" w:leftChars="0" w:right="0" w:rightChars="0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4、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燃气系统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‌：如燃气管道、燃气表等，确保燃气系统安全使用。</w:t>
      </w:r>
    </w:p>
    <w:p w14:paraId="53FC253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="360" w:leftChars="0" w:right="0" w:rightChars="0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5、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建筑物外立面和屋顶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‌：如幕墙、防护栏杆等，确保建筑物结构安全。</w:t>
      </w:r>
    </w:p>
    <w:p w14:paraId="1AB83FE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="360" w:leftChars="0" w:right="0" w:rightChars="0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6、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其他可能存在安全隐患的地方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‌：如机房、厨房、电气线路等。</w:t>
      </w:r>
    </w:p>
    <w:p w14:paraId="2CA926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Autospacing="1" w:afterAutospacing="1" w:line="390" w:lineRule="atLeast"/>
        <w:ind w:left="0" w:right="0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  <w:lang w:eastAsia="zh-CN"/>
        </w:rPr>
        <w:t>三、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冬季安全生产检查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‌：</w:t>
      </w:r>
    </w:p>
    <w:p w14:paraId="3E3A704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="360" w:leftChars="0" w:right="0" w:rightChars="0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1、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冬季安全生产基础工作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‌：开展冬季“九防”检查，包括防冻凝、防滑跌、防火防爆等，重点对储运系统、给排水系统、消防系统进行全面的安全检查。</w:t>
      </w:r>
    </w:p>
    <w:p w14:paraId="6B93888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="360" w:leftChars="0" w:right="0" w:rightChars="0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2、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完善冬季安全生产方案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‌：全面完善冬季安全生产方案，做到组织机构落实、技术方案落实、责任分工落实、物资装备落实。</w:t>
      </w:r>
    </w:p>
    <w:p w14:paraId="017B34A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wordWrap/>
        <w:spacing w:line="390" w:lineRule="atLeast"/>
        <w:ind w:left="360" w:leftChars="0" w:right="0" w:rightChars="0"/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3、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提高全员冬季安全生产意识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‌：组织开展冬季安全生产专题培训和宣传教育活动，提高员工安全操作技能和意识。</w:t>
      </w:r>
    </w:p>
    <w:p w14:paraId="7D624B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SJQY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lbertus Extra Bold">
    <w:panose1 w:val="020E0802040304020204"/>
    <w:charset w:val="00"/>
    <w:family w:val="auto"/>
    <w:pitch w:val="default"/>
    <w:sig w:usb0="00000000" w:usb1="00000000" w:usb2="00000000" w:usb3="00000000" w:csb0="0000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tique Olive Compact">
    <w:panose1 w:val="020B0904030504030204"/>
    <w:charset w:val="00"/>
    <w:family w:val="auto"/>
    <w:pitch w:val="default"/>
    <w:sig w:usb0="00000000" w:usb1="00000000" w:usb2="00000000" w:usb3="00000000" w:csb0="00000000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D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2024-11-26T08:36:07Z</dcterms:created>
  <dc:creator>Administrator</dc:creator>
  <cp:lastModifiedBy>Administrator</cp:lastModifiedBy>
  <dcterms:modified xsi:type="dcterms:W3CDTF">2024-11-26T08:44:11Z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191966D9E3D14B45956563EDF7244BB0_12</vt:lpwstr>
  </property>
</Properties>
</file>