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BB" w:rsidRDefault="004B26BB" w:rsidP="00D73BD5"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 w:rsidRPr="004B26BB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阆中市二龙长宝页岩砖厂</w:t>
      </w:r>
    </w:p>
    <w:p w:rsidR="00D73BD5" w:rsidRPr="00E43E4B" w:rsidRDefault="00D73BD5" w:rsidP="00D73BD5">
      <w:pPr>
        <w:jc w:val="center"/>
        <w:rPr>
          <w:sz w:val="46"/>
          <w:szCs w:val="36"/>
        </w:rPr>
      </w:pPr>
      <w:bookmarkStart w:id="0" w:name="_GoBack"/>
      <w:bookmarkEnd w:id="0"/>
      <w:r w:rsidRPr="00E43E4B">
        <w:rPr>
          <w:rFonts w:hint="eastAsia"/>
          <w:sz w:val="46"/>
          <w:szCs w:val="36"/>
        </w:rPr>
        <w:t>安全生产检查制度</w:t>
      </w:r>
    </w:p>
    <w:p w:rsidR="00D73BD5" w:rsidRDefault="00D73BD5" w:rsidP="00D73BD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4B26BB"/>
    <w:rsid w:val="00730E7A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>Organization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2024-05-14T05:58:00Z</dcterms:created>
  <dcterms:modified xsi:type="dcterms:W3CDTF">2024-05-20T01:41:00Z</dcterms:modified>
</cp:coreProperties>
</file>