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312" w:after="936" w:line="400" w:lineRule="exact"/>
        <w:textAlignment w:val="auto"/>
        <w:rPr>
          <w:rFonts w:hint="eastAsia" w:ascii="方正小标宋_GBK" w:hAnsi="方正小标宋_GBK" w:eastAsia="方正小标宋_GBK" w:cs="方正小标宋_GBK"/>
          <w:b/>
          <w:bCs/>
          <w:color w:val="auto"/>
          <w:sz w:val="52"/>
          <w:szCs w:val="52"/>
        </w:rPr>
      </w:pPr>
      <w:r>
        <w:rPr>
          <w:rFonts w:hint="eastAsia" w:ascii="方正小标宋_GBK" w:hAnsi="方正小标宋_GBK" w:eastAsia="方正小标宋_GBK" w:cs="方正小标宋_GBK"/>
          <w:b/>
          <w:bCs/>
          <w:color w:val="auto"/>
          <w:sz w:val="52"/>
          <w:szCs w:val="52"/>
          <w:lang w:eastAsia="zh-CN"/>
        </w:rPr>
        <w:t>阆中城市建设经营投资</w:t>
      </w:r>
      <w:r>
        <w:rPr>
          <w:rFonts w:hint="eastAsia" w:ascii="方正小标宋_GBK" w:hAnsi="方正小标宋_GBK" w:eastAsia="方正小标宋_GBK" w:cs="方正小标宋_GBK"/>
          <w:b/>
          <w:bCs/>
          <w:color w:val="auto"/>
          <w:sz w:val="52"/>
          <w:szCs w:val="52"/>
        </w:rPr>
        <w:t>有限公司</w:t>
      </w:r>
    </w:p>
    <w:p>
      <w:pPr>
        <w:pStyle w:val="6"/>
        <w:keepNext w:val="0"/>
        <w:keepLines w:val="0"/>
        <w:pageBreakBefore w:val="0"/>
        <w:widowControl w:val="0"/>
        <w:kinsoku/>
        <w:wordWrap/>
        <w:overflowPunct/>
        <w:topLinePunct w:val="0"/>
        <w:autoSpaceDE/>
        <w:autoSpaceDN/>
        <w:bidi w:val="0"/>
        <w:adjustRightInd/>
        <w:snapToGrid/>
        <w:spacing w:before="312" w:after="313" w:afterLines="100" w:line="500" w:lineRule="exact"/>
        <w:textAlignment w:val="auto"/>
        <w:outlineLvl w:val="0"/>
        <w:rPr>
          <w:rFonts w:hint="eastAsia" w:ascii="方正小标宋_GBK" w:hAnsi="方正小标宋_GBK" w:eastAsia="方正小标宋_GBK" w:cs="方正小标宋_GBK"/>
          <w:b/>
          <w:bCs/>
          <w:color w:val="auto"/>
          <w:sz w:val="44"/>
          <w:szCs w:val="44"/>
          <w:lang w:val="en-US" w:eastAsia="zh-CN"/>
        </w:rPr>
      </w:pPr>
      <w:bookmarkStart w:id="0" w:name="_GoBack"/>
      <w:r>
        <w:rPr>
          <w:rFonts w:hint="eastAsia" w:ascii="方正小标宋_GBK" w:hAnsi="方正小标宋_GBK" w:eastAsia="方正小标宋_GBK" w:cs="方正小标宋_GBK"/>
          <w:b/>
          <w:bCs/>
          <w:color w:val="auto"/>
          <w:sz w:val="44"/>
          <w:szCs w:val="44"/>
          <w:lang w:val="en-US" w:eastAsia="zh-CN"/>
        </w:rPr>
        <w:t>安</w:t>
      </w:r>
    </w:p>
    <w:p>
      <w:pPr>
        <w:pStyle w:val="6"/>
        <w:keepNext w:val="0"/>
        <w:keepLines w:val="0"/>
        <w:pageBreakBefore w:val="0"/>
        <w:widowControl w:val="0"/>
        <w:kinsoku/>
        <w:wordWrap/>
        <w:overflowPunct/>
        <w:topLinePunct w:val="0"/>
        <w:autoSpaceDE/>
        <w:autoSpaceDN/>
        <w:bidi w:val="0"/>
        <w:adjustRightInd/>
        <w:snapToGrid/>
        <w:spacing w:before="312" w:after="313" w:afterLines="100" w:line="500" w:lineRule="exact"/>
        <w:textAlignment w:val="auto"/>
        <w:outlineLvl w:val="0"/>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全</w:t>
      </w:r>
    </w:p>
    <w:p>
      <w:pPr>
        <w:pStyle w:val="6"/>
        <w:keepNext w:val="0"/>
        <w:keepLines w:val="0"/>
        <w:pageBreakBefore w:val="0"/>
        <w:widowControl w:val="0"/>
        <w:kinsoku/>
        <w:wordWrap/>
        <w:overflowPunct/>
        <w:topLinePunct w:val="0"/>
        <w:autoSpaceDE/>
        <w:autoSpaceDN/>
        <w:bidi w:val="0"/>
        <w:adjustRightInd/>
        <w:snapToGrid/>
        <w:spacing w:before="312" w:after="313" w:afterLines="100" w:line="500" w:lineRule="exact"/>
        <w:textAlignment w:val="auto"/>
        <w:outlineLvl w:val="0"/>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生</w:t>
      </w:r>
    </w:p>
    <w:p>
      <w:pPr>
        <w:pStyle w:val="6"/>
        <w:keepNext w:val="0"/>
        <w:keepLines w:val="0"/>
        <w:pageBreakBefore w:val="0"/>
        <w:widowControl w:val="0"/>
        <w:kinsoku/>
        <w:wordWrap/>
        <w:overflowPunct/>
        <w:topLinePunct w:val="0"/>
        <w:autoSpaceDE/>
        <w:autoSpaceDN/>
        <w:bidi w:val="0"/>
        <w:adjustRightInd/>
        <w:snapToGrid/>
        <w:spacing w:before="312" w:after="313" w:afterLines="100" w:line="500" w:lineRule="exact"/>
        <w:textAlignment w:val="auto"/>
        <w:outlineLvl w:val="0"/>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产</w:t>
      </w:r>
    </w:p>
    <w:p>
      <w:pPr>
        <w:pStyle w:val="6"/>
        <w:keepNext w:val="0"/>
        <w:keepLines w:val="0"/>
        <w:pageBreakBefore w:val="0"/>
        <w:widowControl w:val="0"/>
        <w:kinsoku/>
        <w:wordWrap/>
        <w:overflowPunct/>
        <w:topLinePunct w:val="0"/>
        <w:autoSpaceDE/>
        <w:autoSpaceDN/>
        <w:bidi w:val="0"/>
        <w:adjustRightInd/>
        <w:snapToGrid/>
        <w:spacing w:before="312" w:after="313" w:afterLines="100" w:line="500" w:lineRule="exact"/>
        <w:textAlignment w:val="auto"/>
        <w:outlineLvl w:val="0"/>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会</w:t>
      </w:r>
    </w:p>
    <w:p>
      <w:pPr>
        <w:pStyle w:val="6"/>
        <w:keepNext w:val="0"/>
        <w:keepLines w:val="0"/>
        <w:pageBreakBefore w:val="0"/>
        <w:widowControl w:val="0"/>
        <w:kinsoku/>
        <w:wordWrap/>
        <w:overflowPunct/>
        <w:topLinePunct w:val="0"/>
        <w:autoSpaceDE/>
        <w:autoSpaceDN/>
        <w:bidi w:val="0"/>
        <w:adjustRightInd/>
        <w:snapToGrid/>
        <w:spacing w:before="312" w:after="313" w:afterLines="100" w:line="500" w:lineRule="exact"/>
        <w:textAlignment w:val="auto"/>
        <w:outlineLvl w:val="0"/>
        <w:rPr>
          <w:rFonts w:hint="default"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议</w:t>
      </w:r>
    </w:p>
    <w:p>
      <w:pPr>
        <w:pStyle w:val="6"/>
        <w:keepNext w:val="0"/>
        <w:keepLines w:val="0"/>
        <w:pageBreakBefore w:val="0"/>
        <w:widowControl w:val="0"/>
        <w:kinsoku/>
        <w:wordWrap/>
        <w:overflowPunct/>
        <w:topLinePunct w:val="0"/>
        <w:autoSpaceDE/>
        <w:autoSpaceDN/>
        <w:bidi w:val="0"/>
        <w:adjustRightInd/>
        <w:snapToGrid/>
        <w:spacing w:before="312" w:after="313" w:afterLines="100" w:line="500" w:lineRule="exact"/>
        <w:textAlignment w:val="auto"/>
        <w:outlineLvl w:val="0"/>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管</w:t>
      </w:r>
    </w:p>
    <w:p>
      <w:pPr>
        <w:pStyle w:val="6"/>
        <w:keepNext w:val="0"/>
        <w:keepLines w:val="0"/>
        <w:pageBreakBefore w:val="0"/>
        <w:widowControl w:val="0"/>
        <w:kinsoku/>
        <w:wordWrap/>
        <w:overflowPunct/>
        <w:topLinePunct w:val="0"/>
        <w:autoSpaceDE/>
        <w:autoSpaceDN/>
        <w:bidi w:val="0"/>
        <w:adjustRightInd/>
        <w:snapToGrid/>
        <w:spacing w:before="312" w:after="313" w:afterLines="100" w:line="500" w:lineRule="exact"/>
        <w:textAlignment w:val="auto"/>
        <w:outlineLvl w:val="0"/>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理</w:t>
      </w:r>
    </w:p>
    <w:p>
      <w:pPr>
        <w:pStyle w:val="6"/>
        <w:keepNext w:val="0"/>
        <w:keepLines w:val="0"/>
        <w:pageBreakBefore w:val="0"/>
        <w:widowControl w:val="0"/>
        <w:kinsoku/>
        <w:wordWrap/>
        <w:overflowPunct/>
        <w:topLinePunct w:val="0"/>
        <w:autoSpaceDE/>
        <w:autoSpaceDN/>
        <w:bidi w:val="0"/>
        <w:adjustRightInd/>
        <w:snapToGrid/>
        <w:spacing w:before="312" w:after="313" w:afterLines="100" w:line="500" w:lineRule="exact"/>
        <w:textAlignment w:val="auto"/>
        <w:outlineLvl w:val="0"/>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制</w:t>
      </w:r>
    </w:p>
    <w:p>
      <w:pPr>
        <w:pStyle w:val="6"/>
        <w:keepNext w:val="0"/>
        <w:keepLines w:val="0"/>
        <w:pageBreakBefore w:val="0"/>
        <w:widowControl w:val="0"/>
        <w:kinsoku/>
        <w:wordWrap/>
        <w:overflowPunct/>
        <w:topLinePunct w:val="0"/>
        <w:autoSpaceDE/>
        <w:autoSpaceDN/>
        <w:bidi w:val="0"/>
        <w:adjustRightInd/>
        <w:snapToGrid/>
        <w:spacing w:before="312" w:after="313" w:afterLines="100" w:line="500" w:lineRule="exact"/>
        <w:textAlignment w:val="auto"/>
        <w:outlineLvl w:val="0"/>
        <w:rPr>
          <w:rFonts w:hint="default"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度</w:t>
      </w:r>
    </w:p>
    <w:bookmarkEnd w:id="0"/>
    <w:p>
      <w:pPr>
        <w:rPr>
          <w:rFonts w:hint="default"/>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520" w:lineRule="exact"/>
        <w:ind w:firstLine="1928" w:firstLineChars="600"/>
        <w:jc w:val="both"/>
        <w:textAlignment w:val="auto"/>
        <w:rPr>
          <w:rFonts w:hint="eastAsia" w:ascii="方正小标宋_GBK" w:hAnsi="方正小标宋_GBK" w:eastAsia="方正小标宋_GBK" w:cs="方正小标宋_GBK"/>
          <w:b/>
          <w:bCs/>
          <w:color w:val="auto"/>
          <w:sz w:val="32"/>
          <w:szCs w:val="32"/>
          <w:lang w:eastAsia="zh-CN"/>
        </w:rPr>
      </w:pPr>
      <w:r>
        <w:rPr>
          <w:rFonts w:hint="eastAsia" w:ascii="方正小标宋_GBK" w:hAnsi="方正小标宋_GBK" w:eastAsia="方正小标宋_GBK" w:cs="方正小标宋_GBK"/>
          <w:b/>
          <w:bCs/>
          <w:color w:val="auto"/>
          <w:sz w:val="32"/>
          <w:szCs w:val="32"/>
          <w:lang w:eastAsia="zh-CN"/>
        </w:rPr>
        <w:t>编制：</w:t>
      </w:r>
      <w:r>
        <w:rPr>
          <w:rFonts w:hint="eastAsia" w:ascii="方正小标宋_GBK" w:hAnsi="方正小标宋_GBK" w:eastAsia="方正小标宋_GBK" w:cs="方正小标宋_GBK"/>
          <w:b/>
          <w:bCs/>
          <w:color w:val="auto"/>
          <w:sz w:val="32"/>
          <w:szCs w:val="32"/>
          <w:lang w:val="en-US" w:eastAsia="zh-CN"/>
        </w:rPr>
        <w:t xml:space="preserve">  质量安全</w:t>
      </w:r>
      <w:r>
        <w:rPr>
          <w:rFonts w:hint="eastAsia" w:ascii="方正小标宋_GBK" w:hAnsi="方正小标宋_GBK" w:eastAsia="方正小标宋_GBK" w:cs="方正小标宋_GBK"/>
          <w:b/>
          <w:bCs/>
          <w:color w:val="auto"/>
          <w:sz w:val="32"/>
          <w:szCs w:val="32"/>
          <w:lang w:eastAsia="zh-CN"/>
        </w:rPr>
        <w:t>部</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1928" w:firstLineChars="600"/>
        <w:textAlignment w:val="auto"/>
        <w:rPr>
          <w:rFonts w:hint="eastAsia"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z w:val="32"/>
          <w:szCs w:val="32"/>
          <w:lang w:eastAsia="zh-CN"/>
        </w:rPr>
        <w:t>审</w:t>
      </w:r>
      <w:r>
        <w:rPr>
          <w:rFonts w:hint="eastAsia" w:ascii="方正小标宋_GBK" w:hAnsi="方正小标宋_GBK" w:eastAsia="方正小标宋_GBK" w:cs="方正小标宋_GBK"/>
          <w:b/>
          <w:bCs/>
          <w:color w:val="auto"/>
          <w:sz w:val="32"/>
          <w:szCs w:val="32"/>
          <w:lang w:val="en-US" w:eastAsia="zh-CN"/>
        </w:rPr>
        <w:t>核</w:t>
      </w:r>
      <w:r>
        <w:rPr>
          <w:rFonts w:hint="eastAsia" w:ascii="方正小标宋_GBK" w:hAnsi="方正小标宋_GBK" w:eastAsia="方正小标宋_GBK" w:cs="方正小标宋_GBK"/>
          <w:b/>
          <w:bCs/>
          <w:color w:val="auto"/>
          <w:sz w:val="32"/>
          <w:szCs w:val="32"/>
          <w:lang w:eastAsia="zh-CN"/>
        </w:rPr>
        <w:t>：</w:t>
      </w:r>
      <w:r>
        <w:rPr>
          <w:rFonts w:hint="eastAsia" w:ascii="方正小标宋_GBK" w:hAnsi="方正小标宋_GBK" w:eastAsia="方正小标宋_GBK" w:cs="方正小标宋_GBK"/>
          <w:b/>
          <w:bCs/>
          <w:color w:val="auto"/>
          <w:sz w:val="32"/>
          <w:szCs w:val="32"/>
          <w:lang w:val="en-US" w:eastAsia="zh-CN"/>
        </w:rPr>
        <w:t xml:space="preserve">  赵远高</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1928" w:firstLineChars="600"/>
        <w:textAlignment w:val="auto"/>
        <w:rPr>
          <w:rFonts w:hint="default"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审批：  何思路</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1928" w:firstLineChars="600"/>
        <w:textAlignment w:val="auto"/>
        <w:rPr>
          <w:rFonts w:hint="eastAsia" w:ascii="方正小标宋_GBK" w:hAnsi="方正小标宋_GBK" w:eastAsia="方正小标宋_GBK" w:cs="方正小标宋_GBK"/>
          <w:b/>
          <w:bCs/>
          <w:color w:val="auto"/>
          <w:sz w:val="32"/>
          <w:szCs w:val="32"/>
          <w:lang w:eastAsia="zh-CN"/>
        </w:rPr>
      </w:pPr>
      <w:r>
        <w:rPr>
          <w:rFonts w:hint="eastAsia" w:ascii="方正小标宋_GBK" w:hAnsi="方正小标宋_GBK" w:eastAsia="方正小标宋_GBK" w:cs="方正小标宋_GBK"/>
          <w:b/>
          <w:bCs/>
          <w:color w:val="auto"/>
          <w:sz w:val="32"/>
          <w:szCs w:val="32"/>
          <w:lang w:eastAsia="zh-CN"/>
        </w:rPr>
        <w:t>签发：</w:t>
      </w:r>
      <w:r>
        <w:rPr>
          <w:rFonts w:hint="eastAsia" w:ascii="方正小标宋_GBK" w:hAnsi="方正小标宋_GBK" w:eastAsia="方正小标宋_GBK" w:cs="方正小标宋_GBK"/>
          <w:b/>
          <w:bCs/>
          <w:color w:val="auto"/>
          <w:sz w:val="32"/>
          <w:szCs w:val="32"/>
          <w:lang w:val="en-US" w:eastAsia="zh-CN"/>
        </w:rPr>
        <w:t xml:space="preserve">  何小洲</w:t>
      </w:r>
    </w:p>
    <w:p>
      <w:pPr>
        <w:ind w:firstLine="1928" w:firstLineChars="600"/>
        <w:rPr>
          <w:rFonts w:hint="eastAsia" w:ascii="方正小标宋_GBK" w:hAnsi="方正小标宋_GBK" w:eastAsia="方正小标宋_GBK" w:cs="方正小标宋_GBK"/>
          <w:b/>
          <w:bCs/>
          <w:color w:val="auto"/>
          <w:sz w:val="32"/>
          <w:szCs w:val="32"/>
          <w:lang w:val="en-US" w:eastAsia="zh-CN"/>
        </w:rPr>
      </w:pPr>
    </w:p>
    <w:p>
      <w:pPr>
        <w:ind w:firstLine="1928" w:firstLineChars="600"/>
        <w:rPr>
          <w:rFonts w:hint="eastAsia"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2023年7月1日</w:t>
      </w:r>
    </w:p>
    <w:p>
      <w:pPr>
        <w:pStyle w:val="2"/>
        <w:numPr>
          <w:numId w:val="0"/>
        </w:numPr>
        <w:spacing w:before="156" w:after="156"/>
        <w:ind w:leftChars="0"/>
        <w:rPr>
          <w:rFonts w:hint="eastAsia" w:ascii="方正黑体_GBK" w:hAnsi="方正黑体_GBK" w:eastAsia="方正黑体_GBK" w:cs="方正黑体_GBK"/>
          <w:b/>
          <w:bCs/>
          <w:color w:val="auto"/>
          <w:sz w:val="28"/>
          <w:szCs w:val="28"/>
        </w:rPr>
      </w:pPr>
      <w:r>
        <w:rPr>
          <w:rFonts w:hint="eastAsia" w:ascii="方正黑体_GBK" w:hAnsi="方正黑体_GBK" w:eastAsia="方正黑体_GBK" w:cs="方正黑体_GBK"/>
          <w:b/>
          <w:bCs/>
          <w:color w:val="auto"/>
          <w:sz w:val="28"/>
          <w:szCs w:val="28"/>
        </w:rPr>
        <w:t>安全生产</w:t>
      </w:r>
      <w:r>
        <w:rPr>
          <w:rFonts w:hint="eastAsia" w:ascii="方正黑体_GBK" w:hAnsi="方正黑体_GBK" w:eastAsia="方正黑体_GBK" w:cs="方正黑体_GBK"/>
          <w:b/>
          <w:bCs/>
          <w:color w:val="auto"/>
          <w:sz w:val="28"/>
          <w:szCs w:val="28"/>
          <w:lang w:val="en-US" w:eastAsia="zh-CN"/>
        </w:rPr>
        <w:t>会议</w:t>
      </w:r>
      <w:r>
        <w:rPr>
          <w:rFonts w:hint="eastAsia" w:ascii="方正黑体_GBK" w:hAnsi="方正黑体_GBK" w:eastAsia="方正黑体_GBK" w:cs="方正黑体_GBK"/>
          <w:b/>
          <w:bCs/>
          <w:color w:val="auto"/>
          <w:sz w:val="28"/>
          <w:szCs w:val="28"/>
        </w:rPr>
        <w:t>制度</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为使公司安全管理体系进一步完善，决策科学化，安全管理规范化，安全生产委员会决定定期、不定期召开安全生产会议。会议类型分：全体安委会成员会议、专题会议、安全生产调度会议、生产安全事故分析会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为了及时了解、掌握各时期的安全生产情况，加强安全生产管理，积极主动地做好预防措施，确保安全生产，特制定本制度。</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适用范围</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班组及以上各部门、车间安全生产会议。安委会组织召开的各类安全生产会议。</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会议类型及安排</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 xml:space="preserve"> 会议类型</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 xml:space="preserve"> 安委会全体成员会议：每年年初召开，主要内容为制订新一年的公司安全生产工作目标任务，总结上一年公司在安全生产取得的成果及存在的问题，并落实好相应的对策措施。</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安全生产专题会议：会议为不定期，主要内容是及时研究解决公司当前的安全生产遇到的问题，运用科学解决或通报有关安全信息和宣贯有关安全政策等。</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安全生产调度会议：每周召开一次，主要内容是各部门、车间汇报上周有关安全生产方面的事项及本周的安全生产工作安排。</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安全事故分析会：发生生产安全事故后，根据“四不放过”原则，要召开事故分析会。</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会议安排</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安委会全体成员会议由公司安委会主任主持，公司安全生产管理机构安环部负责通知，主任委员提出会议议程。</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安全生产调度会,由各事业部经理主持。会议时间安排及召集由各事业部负责通知。质量技术部、供应部、安全环保部、人力资源部、总调度室相关人员参加。</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安全生产专题会议和安全事故分析会由总经理办公室室或安环部提出，安环部负责通知。</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工作程序</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会议内容以安全生产为主，具体包括以下几方面</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了解前段时间、前一班的安全、生产、工艺情况，存在的问题和注意事项，布置下一步安全、生产和工艺操作等工作。</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学习安全生产标准、安全规章制度、安全操作规程等知识，传达上级部门的有关通知、文件精神。</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通报违章违纪、先进事迹。不良现象和不安全行为。</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会议形式和会议责任人</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班前、班后会由班长负责召开，在每天上班前15分钟开始，时间一般5—10分钟，地点由各车间部门自定。在各班组交接班记录中进行记录。</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部门、</w:t>
      </w:r>
      <w:r>
        <w:rPr>
          <w:rFonts w:hint="eastAsia" w:ascii="方正仿宋_GBK" w:hAnsi="方正仿宋_GBK" w:eastAsia="方正仿宋_GBK" w:cs="方正仿宋_GBK"/>
          <w:b/>
          <w:bCs/>
          <w:color w:val="auto"/>
          <w:sz w:val="28"/>
          <w:szCs w:val="28"/>
          <w:lang w:val="en-US" w:eastAsia="zh-CN"/>
        </w:rPr>
        <w:t>班组</w:t>
      </w:r>
      <w:r>
        <w:rPr>
          <w:rFonts w:hint="default" w:ascii="方正仿宋_GBK" w:hAnsi="方正仿宋_GBK" w:eastAsia="方正仿宋_GBK" w:cs="方正仿宋_GBK"/>
          <w:b/>
          <w:bCs/>
          <w:color w:val="auto"/>
          <w:sz w:val="28"/>
          <w:szCs w:val="28"/>
        </w:rPr>
        <w:t>安全会议要求每周一次，由部门负责人、</w:t>
      </w:r>
      <w:r>
        <w:rPr>
          <w:rFonts w:hint="eastAsia" w:ascii="方正仿宋_GBK" w:hAnsi="方正仿宋_GBK" w:eastAsia="方正仿宋_GBK" w:cs="方正仿宋_GBK"/>
          <w:b/>
          <w:bCs/>
          <w:color w:val="auto"/>
          <w:sz w:val="28"/>
          <w:szCs w:val="28"/>
          <w:lang w:val="en-US" w:eastAsia="zh-CN"/>
        </w:rPr>
        <w:t>项目</w:t>
      </w:r>
      <w:r>
        <w:rPr>
          <w:rFonts w:hint="default" w:ascii="方正仿宋_GBK" w:hAnsi="方正仿宋_GBK" w:eastAsia="方正仿宋_GBK" w:cs="方正仿宋_GBK"/>
          <w:b/>
          <w:bCs/>
          <w:color w:val="auto"/>
          <w:sz w:val="28"/>
          <w:szCs w:val="28"/>
        </w:rPr>
        <w:t>负责</w:t>
      </w:r>
      <w:r>
        <w:rPr>
          <w:rFonts w:hint="eastAsia" w:ascii="方正仿宋_GBK" w:hAnsi="方正仿宋_GBK" w:eastAsia="方正仿宋_GBK" w:cs="方正仿宋_GBK"/>
          <w:b/>
          <w:bCs/>
          <w:color w:val="auto"/>
          <w:sz w:val="28"/>
          <w:szCs w:val="28"/>
          <w:lang w:val="en-US" w:eastAsia="zh-CN"/>
        </w:rPr>
        <w:t>人</w:t>
      </w:r>
      <w:r>
        <w:rPr>
          <w:rFonts w:hint="default" w:ascii="方正仿宋_GBK" w:hAnsi="方正仿宋_GBK" w:eastAsia="方正仿宋_GBK" w:cs="方正仿宋_GBK"/>
          <w:b/>
          <w:bCs/>
          <w:color w:val="auto"/>
          <w:sz w:val="28"/>
          <w:szCs w:val="28"/>
        </w:rPr>
        <w:t>召开，时间不限，地点由召集人决定。并在部门、</w:t>
      </w:r>
      <w:r>
        <w:rPr>
          <w:rFonts w:hint="eastAsia" w:ascii="方正仿宋_GBK" w:hAnsi="方正仿宋_GBK" w:eastAsia="方正仿宋_GBK" w:cs="方正仿宋_GBK"/>
          <w:b/>
          <w:bCs/>
          <w:color w:val="auto"/>
          <w:sz w:val="28"/>
          <w:szCs w:val="28"/>
          <w:lang w:val="en-US" w:eastAsia="zh-CN"/>
        </w:rPr>
        <w:t>班组</w:t>
      </w:r>
      <w:r>
        <w:rPr>
          <w:rFonts w:hint="default" w:ascii="方正仿宋_GBK" w:hAnsi="方正仿宋_GBK" w:eastAsia="方正仿宋_GBK" w:cs="方正仿宋_GBK"/>
          <w:b/>
          <w:bCs/>
          <w:color w:val="auto"/>
          <w:sz w:val="28"/>
          <w:szCs w:val="28"/>
        </w:rPr>
        <w:t>安全记录中进行会议记录。</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各专业性安全会议由各主管职能部门领导负责，根据需要召集有关人员召开，由召集人负责记录。</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紧急会议视情况由部门领导决定召开。</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会议召集者在开会之前，应做好有关资料准备工作，会议上要讨论研究解决的问题应列出，重要会议会后要下发会议纪要。</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通知参加会议人员时，要把会议主要内容、开始时间、大约需要多长时间、会议地点交代清楚。</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被通知需要参加会议的人员，都应按时参加会议，做到善始善终，确实不能参加的要在开会之前和召集人说明情况，并得到允许。</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会议上决定的情况，各部门和责任人必须不折不扣的认真执行，及时完成。</w:t>
      </w:r>
    </w:p>
    <w:p>
      <w:pPr>
        <w:pStyle w:val="4"/>
        <w:spacing w:before="156" w:after="156"/>
        <w:ind w:left="992" w:hanging="992"/>
        <w:rPr>
          <w:rFonts w:hint="eastAsia" w:ascii="方正仿宋_GBK" w:hAnsi="方正仿宋_GBK" w:eastAsia="方正仿宋_GBK" w:cs="方正仿宋_GBK"/>
          <w:b/>
          <w:bCs/>
          <w:color w:val="auto"/>
          <w:sz w:val="28"/>
          <w:szCs w:val="28"/>
        </w:rPr>
      </w:pPr>
      <w:r>
        <w:rPr>
          <w:rFonts w:hint="default" w:ascii="方正仿宋_GBK" w:hAnsi="方正仿宋_GBK" w:eastAsia="方正仿宋_GBK" w:cs="方正仿宋_GBK"/>
          <w:b/>
          <w:bCs/>
          <w:color w:val="auto"/>
          <w:sz w:val="28"/>
          <w:szCs w:val="28"/>
        </w:rPr>
        <w:t>对未经允许擅自不参加或迟到、早退的人员，会议召集人有权对其进行经济处罚。</w:t>
      </w:r>
    </w:p>
    <w:p>
      <w:pPr>
        <w:pStyle w:val="4"/>
        <w:spacing w:before="156" w:after="156"/>
        <w:ind w:left="992" w:hanging="992"/>
        <w:rPr>
          <w:rFonts w:hint="eastAsia" w:ascii="方正仿宋_GBK" w:hAnsi="方正仿宋_GBK" w:eastAsia="方正仿宋_GBK" w:cs="方正仿宋_GBK"/>
          <w:b/>
          <w:bCs/>
          <w:color w:val="auto"/>
          <w:sz w:val="28"/>
          <w:szCs w:val="28"/>
          <w:lang w:val="en-US" w:eastAsia="zh-CN"/>
        </w:rPr>
      </w:pPr>
      <w:r>
        <w:rPr>
          <w:rFonts w:hint="default" w:ascii="方正仿宋_GBK" w:hAnsi="方正仿宋_GBK" w:eastAsia="方正仿宋_GBK" w:cs="方正仿宋_GBK"/>
          <w:b/>
          <w:bCs/>
          <w:color w:val="auto"/>
          <w:sz w:val="28"/>
          <w:szCs w:val="28"/>
        </w:rPr>
        <w:t>为使安全生产会议内容切实有效地落实执行，确保安全生产，公司组织召开的安全生产会议，由安环部负责会议决议记录，并将有关信息反馈到相关部门予以执行落实，并建立安全生产会议台帐。</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WinCharSetFFFF-H">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B004D"/>
    <w:multiLevelType w:val="multilevel"/>
    <w:tmpl w:val="665B004D"/>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1715"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jZhMGE4MzhjZDRhZWRiOTY5NjU1NWQ3ZTk1ZjUifQ=="/>
  </w:docVars>
  <w:rsids>
    <w:rsidRoot w:val="233B02D1"/>
    <w:rsid w:val="0BF873AE"/>
    <w:rsid w:val="233B02D1"/>
    <w:rsid w:val="26241BA3"/>
    <w:rsid w:val="2AD134D0"/>
    <w:rsid w:val="3187194F"/>
    <w:rsid w:val="360D7EBC"/>
    <w:rsid w:val="3BD34132"/>
    <w:rsid w:val="44B06ABF"/>
    <w:rsid w:val="4F4C0128"/>
    <w:rsid w:val="6B745BDA"/>
    <w:rsid w:val="6DD92AC5"/>
    <w:rsid w:val="7DB31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992"/>
      </w:tabs>
      <w:spacing w:before="50" w:beforeLines="50" w:after="50" w:afterLines="50" w:line="360" w:lineRule="exact"/>
      <w:ind w:left="992"/>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widowControl/>
      <w:numPr>
        <w:ilvl w:val="0"/>
        <w:numId w:val="1"/>
      </w:numPr>
      <w:spacing w:before="50" w:after="50"/>
      <w:jc w:val="left"/>
      <w:outlineLvl w:val="0"/>
    </w:pPr>
    <w:rPr>
      <w:rFonts w:eastAsia="黑体"/>
      <w:b/>
      <w:bCs/>
      <w:kern w:val="36"/>
      <w:szCs w:val="48"/>
    </w:rPr>
  </w:style>
  <w:style w:type="paragraph" w:styleId="3">
    <w:name w:val="heading 2"/>
    <w:basedOn w:val="1"/>
    <w:next w:val="1"/>
    <w:qFormat/>
    <w:uiPriority w:val="9"/>
    <w:pPr>
      <w:numPr>
        <w:ilvl w:val="1"/>
        <w:numId w:val="1"/>
      </w:numPr>
      <w:spacing w:before="50" w:after="50"/>
      <w:outlineLvl w:val="1"/>
    </w:pPr>
    <w:rPr>
      <w:b/>
      <w:bCs/>
      <w:szCs w:val="32"/>
    </w:rPr>
  </w:style>
  <w:style w:type="paragraph" w:styleId="4">
    <w:name w:val="heading 3"/>
    <w:basedOn w:val="1"/>
    <w:next w:val="1"/>
    <w:unhideWhenUsed/>
    <w:qFormat/>
    <w:uiPriority w:val="9"/>
    <w:pPr>
      <w:numPr>
        <w:ilvl w:val="2"/>
        <w:numId w:val="1"/>
      </w:numPr>
      <w:spacing w:before="50" w:after="50"/>
      <w:outlineLvl w:val="2"/>
    </w:pPr>
    <w:rPr>
      <w:b/>
      <w:bCs/>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beforeLines="100" w:afterLines="300" w:line="520" w:lineRule="exact"/>
      <w:ind w:left="0"/>
      <w:jc w:val="center"/>
      <w:outlineLvl w:val="0"/>
    </w:pPr>
    <w:rPr>
      <w:rFonts w:eastAsia="黑体"/>
      <w:b/>
      <w:bCs/>
      <w:sz w:val="32"/>
      <w:szCs w:val="32"/>
    </w:rPr>
  </w:style>
  <w:style w:type="character" w:styleId="9">
    <w:name w:val="Strong"/>
    <w:basedOn w:val="8"/>
    <w:qFormat/>
    <w:uiPriority w:val="0"/>
    <w:rPr>
      <w:b/>
    </w:rPr>
  </w:style>
  <w:style w:type="paragraph" w:customStyle="1" w:styleId="10">
    <w:name w:val="总则"/>
    <w:basedOn w:val="1"/>
    <w:uiPriority w:val="0"/>
    <w:pPr>
      <w:jc w:val="center"/>
    </w:pPr>
    <w:rPr>
      <w:rFonts w:eastAsia="方正仿宋_GBK" w:asciiTheme="minorAscii" w:hAnsiTheme="minorAscii"/>
      <w:sz w:val="32"/>
      <w:szCs w:val="22"/>
    </w:rPr>
  </w:style>
  <w:style w:type="paragraph" w:customStyle="1" w:styleId="11">
    <w:name w:val="普通(网站) Char"/>
    <w:basedOn w:val="1"/>
    <w:autoRedefine/>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2024-03-07T06:47:00Z</dcterms:created>
  <dc:creator>优果鲜商城路店</dc:creator>
  <cp:lastModifiedBy>优果鲜商城路店</cp:lastModifiedBy>
  <dcterms:modified xsi:type="dcterms:W3CDTF">2024-03-07T09:20:07Z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56582C5C688D4161A635BB97822C1278_13</vt:lpwstr>
  </property>
</Properties>
</file>