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270" w:line="288" w:lineRule="auto"/>
        <w:jc w:val="center"/>
      </w:pPr>
      <w:bookmarkStart w:id="0" w:name="_GoBack"/>
      <w:bookmarkEnd w:id="0"/>
      <w:r>
        <w:rPr>
          <w:rFonts w:hint="eastAsia" w:ascii="&quot;Microsoft YaHei&quot;" w:hAnsi="&quot;Microsoft YaHei&quot;" w:eastAsia="&quot;Microsoft YaHei&quot;"/>
          <w:b/>
          <w:sz w:val="36"/>
        </w:rPr>
        <w:t>事故隐患和危险管理制度</w:t>
      </w:r>
    </w:p>
    <w:p>
      <w:pPr>
        <w:spacing w:line="288" w:lineRule="auto"/>
        <w:jc w:val="both"/>
      </w:pPr>
      <w:r>
        <w:rPr>
          <w:rFonts w:hint="eastAsia" w:ascii="&quot;Microsoft YaHei&quot;" w:hAnsi="&quot;Microsoft YaHei&quot;" w:eastAsia="&quot;Microsoft YaHei&quot;"/>
          <w:sz w:val="26"/>
        </w:rPr>
        <w:t>一、总则</w:t>
      </w:r>
    </w:p>
    <w:p>
      <w:pPr>
        <w:spacing w:line="288" w:lineRule="auto"/>
        <w:jc w:val="both"/>
      </w:pPr>
      <w:r>
        <w:rPr>
          <w:rFonts w:hint="eastAsia" w:ascii="&quot;Microsoft YaHei&quot;" w:hAnsi="&quot;Microsoft YaHei&quot;" w:eastAsia="&quot;Microsoft YaHei&quot;"/>
          <w:sz w:val="26"/>
        </w:rPr>
        <w:t>本制度旨在识别和消除工作场所的事故隐患，降低事故发生的可能性，保障员工的生命安全与健康，保护公司的财产安全，维护正常的生产和工作秩序。</w:t>
      </w:r>
    </w:p>
    <w:p>
      <w:pPr>
        <w:spacing w:line="288" w:lineRule="auto"/>
        <w:jc w:val="both"/>
      </w:pPr>
      <w:r>
        <w:rPr>
          <w:rFonts w:hint="eastAsia" w:ascii="&quot;Microsoft YaHei&quot;" w:hAnsi="&quot;Microsoft YaHei&quot;" w:eastAsia="&quot;Microsoft YaHei&quot;"/>
          <w:sz w:val="26"/>
        </w:rPr>
        <w:t>二、定义与范围</w:t>
      </w:r>
    </w:p>
    <w:p>
      <w:pPr>
        <w:numPr>
          <w:ilvl w:val="0"/>
          <w:numId w:val="1"/>
        </w:numPr>
        <w:spacing w:line="288" w:lineRule="auto"/>
        <w:jc w:val="both"/>
        <w:rPr>
          <w:color w:val="000000"/>
          <w:sz w:val="26"/>
        </w:rPr>
      </w:pPr>
      <w:r>
        <w:rPr>
          <w:rFonts w:hint="eastAsia" w:ascii="&quot;Microsoft YaHei&quot;" w:hAnsi="&quot;Microsoft YaHei&quot;" w:eastAsia="&quot;Microsoft YaHei&quot;"/>
          <w:color w:val="000000"/>
          <w:sz w:val="26"/>
        </w:rPr>
        <w:t>事故隐患：指可能导致事故发生的各种不安全因素，包括人的不安全行为、物的不安全状态、环境的不良影响以及管理上的缺陷等。</w:t>
      </w:r>
    </w:p>
    <w:p>
      <w:pPr>
        <w:numPr>
          <w:ilvl w:val="0"/>
          <w:numId w:val="1"/>
        </w:numPr>
        <w:spacing w:line="288" w:lineRule="auto"/>
        <w:jc w:val="both"/>
        <w:rPr>
          <w:color w:val="000000"/>
          <w:sz w:val="26"/>
        </w:rPr>
      </w:pPr>
      <w:r>
        <w:rPr>
          <w:rFonts w:hint="eastAsia" w:ascii="&quot;Microsoft YaHei&quot;" w:hAnsi="&quot;Microsoft YaHei&quot;" w:eastAsia="&quot;Microsoft YaHei&quot;"/>
          <w:color w:val="000000"/>
          <w:sz w:val="26"/>
        </w:rPr>
        <w:t>危险源：指可能导致伤害、疾病、财产损失、环境破坏或这些情况组合的根源或状态。</w:t>
      </w:r>
    </w:p>
    <w:p>
      <w:pPr>
        <w:numPr>
          <w:ilvl w:val="0"/>
          <w:numId w:val="1"/>
        </w:numPr>
        <w:spacing w:line="288" w:lineRule="auto"/>
        <w:jc w:val="both"/>
        <w:rPr>
          <w:color w:val="000000"/>
          <w:sz w:val="26"/>
        </w:rPr>
      </w:pPr>
      <w:r>
        <w:rPr>
          <w:rFonts w:hint="eastAsia" w:ascii="&quot;Microsoft YaHei&quot;" w:hAnsi="&quot;Microsoft YaHei&quot;" w:eastAsia="&quot;Microsoft YaHei&quot;"/>
          <w:color w:val="000000"/>
          <w:sz w:val="26"/>
        </w:rPr>
        <w:t>本制度适用于公司内所有部门、岗位和人员，以及进入公司工作场所的外部人员。</w:t>
      </w:r>
    </w:p>
    <w:p>
      <w:pPr>
        <w:spacing w:line="288" w:lineRule="auto"/>
        <w:jc w:val="both"/>
      </w:pPr>
      <w:r>
        <w:rPr>
          <w:rFonts w:hint="eastAsia" w:ascii="&quot;Microsoft YaHei&quot;" w:hAnsi="&quot;Microsoft YaHei&quot;" w:eastAsia="&quot;Microsoft YaHei&quot;"/>
          <w:sz w:val="26"/>
        </w:rPr>
        <w:t>三、职责与分工</w:t>
      </w:r>
    </w:p>
    <w:p>
      <w:pPr>
        <w:numPr>
          <w:ilvl w:val="0"/>
          <w:numId w:val="2"/>
        </w:numPr>
        <w:spacing w:line="288" w:lineRule="auto"/>
        <w:jc w:val="both"/>
        <w:rPr>
          <w:color w:val="000000"/>
          <w:sz w:val="26"/>
        </w:rPr>
      </w:pPr>
      <w:r>
        <w:rPr>
          <w:rFonts w:hint="eastAsia" w:ascii="&quot;Microsoft YaHei&quot;" w:hAnsi="&quot;Microsoft YaHei&quot;" w:eastAsia="&quot;Microsoft YaHei&quot;"/>
          <w:color w:val="000000"/>
          <w:sz w:val="26"/>
        </w:rPr>
        <w:t>安全管理部门：负责制定和完善事故隐患和危险管理制度，组织隐患排查、风险评估和整改工作，监督制度执行情况。</w:t>
      </w:r>
    </w:p>
    <w:p>
      <w:pPr>
        <w:numPr>
          <w:ilvl w:val="0"/>
          <w:numId w:val="2"/>
        </w:numPr>
        <w:spacing w:line="288" w:lineRule="auto"/>
        <w:jc w:val="both"/>
        <w:rPr>
          <w:color w:val="000000"/>
          <w:sz w:val="26"/>
        </w:rPr>
      </w:pPr>
      <w:r>
        <w:rPr>
          <w:rFonts w:hint="eastAsia" w:ascii="&quot;Microsoft YaHei&quot;" w:hAnsi="&quot;Microsoft YaHei&quot;" w:eastAsia="&quot;Microsoft YaHei&quot;"/>
          <w:color w:val="000000"/>
          <w:sz w:val="26"/>
        </w:rPr>
        <w:t>各部门负责人：负责本部门事故隐患和危险源的日常排查、整改和上报工作，确保员工遵守安全操作规程。</w:t>
      </w:r>
    </w:p>
    <w:p>
      <w:pPr>
        <w:numPr>
          <w:ilvl w:val="0"/>
          <w:numId w:val="2"/>
        </w:numPr>
        <w:spacing w:line="288" w:lineRule="auto"/>
        <w:jc w:val="both"/>
        <w:rPr>
          <w:color w:val="000000"/>
          <w:sz w:val="26"/>
        </w:rPr>
      </w:pPr>
      <w:r>
        <w:rPr>
          <w:rFonts w:hint="eastAsia" w:ascii="&quot;Microsoft YaHei&quot;" w:hAnsi="&quot;Microsoft YaHei&quot;" w:eastAsia="&quot;Microsoft YaHei&quot;"/>
          <w:color w:val="000000"/>
          <w:sz w:val="26"/>
        </w:rPr>
        <w:t>员工：应积极参与隐患排查和整改工作，遵守安全制度，及时报告发现的事故隐患和危险源。</w:t>
      </w:r>
    </w:p>
    <w:p>
      <w:pPr>
        <w:spacing w:line="288" w:lineRule="auto"/>
        <w:jc w:val="both"/>
      </w:pPr>
      <w:r>
        <w:rPr>
          <w:rFonts w:hint="eastAsia" w:ascii="&quot;Microsoft YaHei&quot;" w:hAnsi="&quot;Microsoft YaHei&quot;" w:eastAsia="&quot;Microsoft YaHei&quot;"/>
          <w:sz w:val="26"/>
        </w:rPr>
        <w:t>四、隐患排查与风险评估</w:t>
      </w:r>
    </w:p>
    <w:p>
      <w:pPr>
        <w:numPr>
          <w:ilvl w:val="0"/>
          <w:numId w:val="3"/>
        </w:numPr>
        <w:spacing w:line="288" w:lineRule="auto"/>
        <w:jc w:val="both"/>
        <w:rPr>
          <w:color w:val="000000"/>
          <w:sz w:val="26"/>
        </w:rPr>
      </w:pPr>
      <w:r>
        <w:rPr>
          <w:rFonts w:hint="eastAsia" w:ascii="&quot;Microsoft YaHei&quot;" w:hAnsi="&quot;Microsoft YaHei&quot;" w:eastAsia="&quot;Microsoft YaHei&quot;"/>
          <w:color w:val="000000"/>
          <w:sz w:val="26"/>
        </w:rPr>
        <w:t>定期进行事故隐患和危险源的排查，包括日常检查、专项检查和季节性检查等。</w:t>
      </w:r>
    </w:p>
    <w:p>
      <w:pPr>
        <w:numPr>
          <w:ilvl w:val="0"/>
          <w:numId w:val="3"/>
        </w:numPr>
        <w:spacing w:line="288" w:lineRule="auto"/>
        <w:jc w:val="both"/>
        <w:rPr>
          <w:color w:val="000000"/>
          <w:sz w:val="26"/>
        </w:rPr>
      </w:pPr>
      <w:r>
        <w:rPr>
          <w:rFonts w:hint="eastAsia" w:ascii="&quot;Microsoft YaHei&quot;" w:hAnsi="&quot;Microsoft YaHei&quot;" w:eastAsia="&quot;Microsoft YaHei&quot;"/>
          <w:color w:val="000000"/>
          <w:sz w:val="26"/>
        </w:rPr>
        <w:t>对排查出的事故隐患和危险源进行风险评估，确定其可能导致的后果和概率，制定相应的风险控制措施。</w:t>
      </w:r>
    </w:p>
    <w:p>
      <w:pPr>
        <w:spacing w:line="288" w:lineRule="auto"/>
        <w:jc w:val="both"/>
      </w:pPr>
      <w:r>
        <w:rPr>
          <w:rFonts w:hint="eastAsia" w:ascii="&quot;Microsoft YaHei&quot;" w:hAnsi="&quot;Microsoft YaHei&quot;" w:eastAsia="&quot;Microsoft YaHei&quot;"/>
          <w:sz w:val="26"/>
        </w:rPr>
        <w:t>五、隐患整改与消除</w:t>
      </w:r>
    </w:p>
    <w:p>
      <w:pPr>
        <w:numPr>
          <w:ilvl w:val="0"/>
          <w:numId w:val="4"/>
        </w:numPr>
        <w:spacing w:line="288" w:lineRule="auto"/>
        <w:jc w:val="both"/>
        <w:rPr>
          <w:color w:val="000000"/>
          <w:sz w:val="26"/>
        </w:rPr>
      </w:pPr>
      <w:r>
        <w:rPr>
          <w:rFonts w:hint="eastAsia" w:ascii="&quot;Microsoft YaHei&quot;" w:hAnsi="&quot;Microsoft YaHei&quot;" w:eastAsia="&quot;Microsoft YaHei&quot;"/>
          <w:color w:val="000000"/>
          <w:sz w:val="26"/>
        </w:rPr>
        <w:t>对排查出的隐患，制定整改计划，明确整改责任人、整改措施和整改期限。</w:t>
      </w:r>
    </w:p>
    <w:p>
      <w:pPr>
        <w:numPr>
          <w:ilvl w:val="0"/>
          <w:numId w:val="4"/>
        </w:numPr>
        <w:spacing w:line="288" w:lineRule="auto"/>
        <w:jc w:val="both"/>
        <w:rPr>
          <w:color w:val="000000"/>
          <w:sz w:val="26"/>
        </w:rPr>
      </w:pPr>
      <w:r>
        <w:rPr>
          <w:rFonts w:hint="eastAsia" w:ascii="&quot;Microsoft YaHei&quot;" w:hAnsi="&quot;Microsoft YaHei&quot;" w:eastAsia="&quot;Microsoft YaHei&quot;"/>
          <w:color w:val="000000"/>
          <w:sz w:val="26"/>
        </w:rPr>
        <w:t>整改完成后，应组织验收，确保隐患得到有效消除。</w:t>
      </w:r>
    </w:p>
    <w:p>
      <w:pPr>
        <w:numPr>
          <w:ilvl w:val="0"/>
          <w:numId w:val="4"/>
        </w:numPr>
        <w:spacing w:line="288" w:lineRule="auto"/>
        <w:jc w:val="both"/>
        <w:rPr>
          <w:color w:val="000000"/>
          <w:sz w:val="26"/>
        </w:rPr>
      </w:pPr>
      <w:r>
        <w:rPr>
          <w:rFonts w:hint="eastAsia" w:ascii="&quot;Microsoft YaHei&quot;" w:hAnsi="&quot;Microsoft YaHei&quot;" w:eastAsia="&quot;Microsoft YaHei&quot;"/>
          <w:color w:val="000000"/>
          <w:sz w:val="26"/>
        </w:rPr>
        <w:t>对于无法立即整改的隐患，应采取临时控制措施，防止事故发生。</w:t>
      </w:r>
    </w:p>
    <w:p>
      <w:pPr>
        <w:spacing w:line="288" w:lineRule="auto"/>
        <w:jc w:val="both"/>
      </w:pPr>
      <w:r>
        <w:rPr>
          <w:rFonts w:hint="eastAsia" w:ascii="&quot;Microsoft YaHei&quot;" w:hAnsi="&quot;Microsoft YaHei&quot;" w:eastAsia="&quot;Microsoft YaHei&quot;"/>
          <w:sz w:val="26"/>
        </w:rPr>
        <w:t>六、培训与宣传</w:t>
      </w:r>
    </w:p>
    <w:p>
      <w:pPr>
        <w:numPr>
          <w:ilvl w:val="0"/>
          <w:numId w:val="5"/>
        </w:numPr>
        <w:spacing w:line="288" w:lineRule="auto"/>
        <w:jc w:val="both"/>
        <w:rPr>
          <w:color w:val="000000"/>
          <w:sz w:val="26"/>
        </w:rPr>
      </w:pPr>
      <w:r>
        <w:rPr>
          <w:rFonts w:hint="eastAsia" w:ascii="&quot;Microsoft YaHei&quot;" w:hAnsi="&quot;Microsoft YaHei&quot;" w:eastAsia="&quot;Microsoft YaHei&quot;"/>
          <w:color w:val="000000"/>
          <w:sz w:val="26"/>
        </w:rPr>
        <w:t>定期开展安全培训和宣传教育活动，提高员工的安全意识和操作技能。</w:t>
      </w:r>
    </w:p>
    <w:p>
      <w:pPr>
        <w:numPr>
          <w:ilvl w:val="0"/>
          <w:numId w:val="5"/>
        </w:numPr>
        <w:spacing w:line="288" w:lineRule="auto"/>
        <w:jc w:val="both"/>
        <w:rPr>
          <w:color w:val="000000"/>
          <w:sz w:val="26"/>
        </w:rPr>
      </w:pPr>
      <w:r>
        <w:rPr>
          <w:rFonts w:hint="eastAsia" w:ascii="&quot;Microsoft YaHei&quot;" w:hAnsi="&quot;Microsoft YaHei&quot;" w:eastAsia="&quot;Microsoft YaHei&quot;"/>
          <w:color w:val="000000"/>
          <w:sz w:val="26"/>
        </w:rPr>
        <w:t>对新员工进行安全教育培训，确保其熟悉安全制度和操作规程。</w:t>
      </w:r>
    </w:p>
    <w:p>
      <w:pPr>
        <w:spacing w:line="288" w:lineRule="auto"/>
        <w:jc w:val="both"/>
      </w:pPr>
      <w:r>
        <w:rPr>
          <w:rFonts w:hint="eastAsia" w:ascii="&quot;Microsoft YaHei&quot;" w:hAnsi="&quot;Microsoft YaHei&quot;" w:eastAsia="&quot;Microsoft YaHei&quot;"/>
          <w:sz w:val="26"/>
        </w:rPr>
        <w:t>七、监督与考核</w:t>
      </w:r>
    </w:p>
    <w:p>
      <w:pPr>
        <w:numPr>
          <w:ilvl w:val="0"/>
          <w:numId w:val="6"/>
        </w:numPr>
        <w:spacing w:line="288" w:lineRule="auto"/>
        <w:jc w:val="both"/>
        <w:rPr>
          <w:color w:val="000000"/>
          <w:sz w:val="26"/>
        </w:rPr>
      </w:pPr>
      <w:r>
        <w:rPr>
          <w:rFonts w:hint="eastAsia" w:ascii="&quot;Microsoft YaHei&quot;" w:hAnsi="&quot;Microsoft YaHei&quot;" w:eastAsia="&quot;Microsoft YaHei&quot;"/>
          <w:color w:val="000000"/>
          <w:sz w:val="26"/>
        </w:rPr>
        <w:t>安全管理部门应定期对各部门的事故隐患和危险源管理情况进行监督检查。</w:t>
      </w:r>
    </w:p>
    <w:p>
      <w:pPr>
        <w:numPr>
          <w:ilvl w:val="0"/>
          <w:numId w:val="6"/>
        </w:numPr>
        <w:spacing w:line="288" w:lineRule="auto"/>
        <w:jc w:val="both"/>
        <w:rPr>
          <w:color w:val="000000"/>
          <w:sz w:val="26"/>
        </w:rPr>
      </w:pPr>
      <w:r>
        <w:rPr>
          <w:rFonts w:hint="eastAsia" w:ascii="&quot;Microsoft YaHei&quot;" w:hAnsi="&quot;Microsoft YaHei&quot;" w:eastAsia="&quot;Microsoft YaHei&quot;"/>
          <w:color w:val="000000"/>
          <w:sz w:val="26"/>
        </w:rPr>
        <w:t>将事故隐患和危险源管理工作纳入绩效考核体系，对表现优秀的部门和个人进行表彰和奖励。</w:t>
      </w:r>
    </w:p>
    <w:p>
      <w:pPr>
        <w:spacing w:line="288" w:lineRule="auto"/>
        <w:jc w:val="both"/>
      </w:pPr>
      <w:r>
        <w:rPr>
          <w:rFonts w:hint="eastAsia" w:ascii="&quot;Microsoft YaHei&quot;" w:hAnsi="&quot;Microsoft YaHei&quot;" w:eastAsia="&quot;Microsoft YaHei&quot;"/>
          <w:sz w:val="26"/>
        </w:rPr>
        <w:t>八、事故应急与报告</w:t>
      </w:r>
    </w:p>
    <w:p>
      <w:pPr>
        <w:numPr>
          <w:ilvl w:val="0"/>
          <w:numId w:val="7"/>
        </w:numPr>
        <w:spacing w:line="288" w:lineRule="auto"/>
        <w:jc w:val="both"/>
        <w:rPr>
          <w:color w:val="000000"/>
          <w:sz w:val="26"/>
        </w:rPr>
      </w:pPr>
      <w:r>
        <w:rPr>
          <w:rFonts w:hint="eastAsia" w:ascii="&quot;Microsoft YaHei&quot;" w:hAnsi="&quot;Microsoft YaHei&quot;" w:eastAsia="&quot;Microsoft YaHei&quot;"/>
          <w:color w:val="000000"/>
          <w:sz w:val="26"/>
        </w:rPr>
        <w:t>制定完善的事故应急预案，明确应急处置程序和责任人，定期组织演练。</w:t>
      </w:r>
    </w:p>
    <w:p>
      <w:pPr>
        <w:numPr>
          <w:ilvl w:val="0"/>
          <w:numId w:val="7"/>
        </w:numPr>
        <w:spacing w:line="288" w:lineRule="auto"/>
        <w:jc w:val="both"/>
        <w:rPr>
          <w:color w:val="000000"/>
          <w:sz w:val="26"/>
        </w:rPr>
      </w:pPr>
      <w:r>
        <w:rPr>
          <w:rFonts w:hint="eastAsia" w:ascii="&quot;Microsoft YaHei&quot;" w:hAnsi="&quot;Microsoft YaHei&quot;" w:eastAsia="&quot;Microsoft YaHei&quot;"/>
          <w:color w:val="000000"/>
          <w:sz w:val="26"/>
        </w:rPr>
        <w:t>发生事故时，应立即启动应急预案，采取有效措施控制事故扩大，并及时报告相关部门和领导。</w:t>
      </w:r>
    </w:p>
    <w:p>
      <w:pPr>
        <w:spacing w:line="288" w:lineRule="auto"/>
        <w:jc w:val="both"/>
      </w:pPr>
      <w:r>
        <w:rPr>
          <w:rFonts w:hint="eastAsia" w:ascii="&quot;Microsoft YaHei&quot;" w:hAnsi="&quot;Microsoft YaHei&quot;" w:eastAsia="&quot;Microsoft YaHei&quot;"/>
          <w:sz w:val="26"/>
        </w:rPr>
        <w:t>九、持续改进</w:t>
      </w:r>
    </w:p>
    <w:p>
      <w:pPr>
        <w:numPr>
          <w:ilvl w:val="0"/>
          <w:numId w:val="8"/>
        </w:numPr>
        <w:spacing w:line="288" w:lineRule="auto"/>
        <w:jc w:val="both"/>
        <w:rPr>
          <w:color w:val="000000"/>
          <w:sz w:val="26"/>
        </w:rPr>
      </w:pPr>
      <w:r>
        <w:rPr>
          <w:rFonts w:hint="eastAsia" w:ascii="&quot;Microsoft YaHei&quot;" w:hAnsi="&quot;Microsoft YaHei&quot;" w:eastAsia="&quot;Microsoft YaHei&quot;"/>
          <w:color w:val="000000"/>
          <w:sz w:val="26"/>
        </w:rPr>
        <w:t>根据实际情况，不断完善事故隐患和危险管理制度，提高其针对性和可操作性。</w:t>
      </w:r>
    </w:p>
    <w:p>
      <w:pPr>
        <w:numPr>
          <w:ilvl w:val="0"/>
          <w:numId w:val="8"/>
        </w:numPr>
        <w:spacing w:line="288" w:lineRule="auto"/>
        <w:jc w:val="both"/>
        <w:rPr>
          <w:color w:val="000000"/>
          <w:sz w:val="26"/>
        </w:rPr>
      </w:pPr>
      <w:r>
        <w:rPr>
          <w:rFonts w:hint="eastAsia" w:ascii="&quot;Microsoft YaHei&quot;" w:hAnsi="&quot;Microsoft YaHei&quot;" w:eastAsia="&quot;Microsoft YaHei&quot;"/>
          <w:color w:val="000000"/>
          <w:sz w:val="26"/>
        </w:rPr>
        <w:t>定期对事故隐患和危险源管理工作进行总结评估，总结经验教训，提出改进措施。</w:t>
      </w:r>
    </w:p>
    <w:p>
      <w:pPr>
        <w:spacing w:line="288" w:lineRule="auto"/>
        <w:jc w:val="both"/>
      </w:pPr>
      <w:r>
        <w:rPr>
          <w:rFonts w:hint="eastAsia" w:ascii="&quot;Microsoft YaHei&quot;" w:hAnsi="&quot;Microsoft YaHei&quot;" w:eastAsia="&quot;Microsoft YaHei&quot;"/>
          <w:sz w:val="26"/>
        </w:rPr>
        <w:t>十、附则</w:t>
      </w:r>
    </w:p>
    <w:p>
      <w:pPr>
        <w:numPr>
          <w:ilvl w:val="0"/>
          <w:numId w:val="9"/>
        </w:numPr>
        <w:spacing w:line="288" w:lineRule="auto"/>
        <w:jc w:val="both"/>
        <w:rPr>
          <w:color w:val="000000"/>
          <w:sz w:val="26"/>
        </w:rPr>
      </w:pPr>
      <w:r>
        <w:rPr>
          <w:rFonts w:hint="eastAsia" w:ascii="&quot;Microsoft YaHei&quot;" w:hAnsi="&quot;Microsoft YaHei&quot;" w:eastAsia="&quot;Microsoft YaHei&quot;"/>
          <w:color w:val="000000"/>
          <w:sz w:val="26"/>
        </w:rPr>
        <w:t>本制度由公司安全管理部门负责解释。</w:t>
      </w:r>
    </w:p>
    <w:p>
      <w:pPr>
        <w:numPr>
          <w:ilvl w:val="0"/>
          <w:numId w:val="9"/>
        </w:numPr>
        <w:spacing w:line="288" w:lineRule="auto"/>
        <w:jc w:val="both"/>
        <w:rPr>
          <w:color w:val="000000"/>
          <w:sz w:val="26"/>
        </w:rPr>
      </w:pPr>
      <w:r>
        <w:rPr>
          <w:rFonts w:hint="eastAsia" w:ascii="&quot;Microsoft YaHei&quot;" w:hAnsi="&quot;Microsoft YaHei&quot;" w:eastAsia="&quot;Microsoft YaHei&quot;"/>
          <w:color w:val="000000"/>
          <w:sz w:val="26"/>
        </w:rPr>
        <w:t>本制度自发布之日起执行，如有与之前制度相冲突之处，以本制度为准。</w:t>
      </w:r>
    </w:p>
    <w:p>
      <w:pPr>
        <w:spacing w:line="288" w:lineRule="auto"/>
        <w:jc w:val="both"/>
      </w:pPr>
      <w:r>
        <w:rPr>
          <w:rFonts w:hint="eastAsia" w:ascii="&quot;Microsoft YaHei&quot;" w:hAnsi="&quot;Microsoft YaHei&quot;" w:eastAsia="&quot;Microsoft YaHei&quot;"/>
          <w:sz w:val="26"/>
        </w:rPr>
        <w:t>通过实施本制度，公司将不断提高事故隐患和危险源管理水平，为员工创造一个安全、健康、稳定的工作环境，为公司的持续发展提供有力保障。</w:t>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quot;Microsoft YaHei&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tabs>
          <w:tab w:val="left" w:pos="440"/>
        </w:tabs>
        <w:ind w:left="440" w:hanging="440"/>
      </w:pPr>
      <w:rPr>
        <w:rFonts w:hint="default"/>
      </w:r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abstractNum w:abstractNumId="1">
    <w:nsid w:val="BF205925"/>
    <w:multiLevelType w:val="multilevel"/>
    <w:tmpl w:val="BF205925"/>
    <w:lvl w:ilvl="0" w:tentative="0">
      <w:start w:val="1"/>
      <w:numFmt w:val="decimal"/>
      <w:lvlText w:val="%1."/>
      <w:lvlJc w:val="left"/>
      <w:pPr>
        <w:tabs>
          <w:tab w:val="left" w:pos="440"/>
        </w:tabs>
        <w:ind w:left="440" w:hanging="440"/>
      </w:pPr>
      <w:rPr>
        <w:rFonts w:hint="default"/>
      </w:r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abstractNum w:abstractNumId="2">
    <w:nsid w:val="CF092B84"/>
    <w:multiLevelType w:val="multilevel"/>
    <w:tmpl w:val="CF092B84"/>
    <w:lvl w:ilvl="0" w:tentative="0">
      <w:start w:val="1"/>
      <w:numFmt w:val="decimal"/>
      <w:lvlText w:val="%1."/>
      <w:lvlJc w:val="left"/>
      <w:pPr>
        <w:tabs>
          <w:tab w:val="left" w:pos="440"/>
        </w:tabs>
        <w:ind w:left="440" w:hanging="440"/>
      </w:pPr>
      <w:rPr>
        <w:rFonts w:hint="default"/>
      </w:r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abstractNum w:abstractNumId="3">
    <w:nsid w:val="0053208E"/>
    <w:multiLevelType w:val="multilevel"/>
    <w:tmpl w:val="0053208E"/>
    <w:lvl w:ilvl="0" w:tentative="0">
      <w:start w:val="1"/>
      <w:numFmt w:val="decimal"/>
      <w:lvlText w:val="%1."/>
      <w:lvlJc w:val="left"/>
      <w:pPr>
        <w:tabs>
          <w:tab w:val="left" w:pos="440"/>
        </w:tabs>
        <w:ind w:left="440" w:hanging="440"/>
      </w:pPr>
      <w:rPr>
        <w:rFonts w:hint="default"/>
      </w:r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abstractNum w:abstractNumId="4">
    <w:nsid w:val="0248C179"/>
    <w:multiLevelType w:val="multilevel"/>
    <w:tmpl w:val="0248C179"/>
    <w:lvl w:ilvl="0" w:tentative="0">
      <w:start w:val="1"/>
      <w:numFmt w:val="decimal"/>
      <w:lvlText w:val="%1."/>
      <w:lvlJc w:val="left"/>
      <w:pPr>
        <w:tabs>
          <w:tab w:val="left" w:pos="440"/>
        </w:tabs>
        <w:ind w:left="440" w:hanging="440"/>
      </w:pPr>
      <w:rPr>
        <w:rFonts w:hint="default"/>
      </w:r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abstractNum w:abstractNumId="5">
    <w:nsid w:val="03D62ECE"/>
    <w:multiLevelType w:val="multilevel"/>
    <w:tmpl w:val="03D62ECE"/>
    <w:lvl w:ilvl="0" w:tentative="0">
      <w:start w:val="1"/>
      <w:numFmt w:val="decimal"/>
      <w:lvlText w:val="%1."/>
      <w:lvlJc w:val="left"/>
      <w:pPr>
        <w:tabs>
          <w:tab w:val="left" w:pos="440"/>
        </w:tabs>
        <w:ind w:left="440" w:hanging="440"/>
      </w:pPr>
      <w:rPr>
        <w:rFonts w:hint="default"/>
      </w:r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abstractNum w:abstractNumId="6">
    <w:nsid w:val="25B654F3"/>
    <w:multiLevelType w:val="multilevel"/>
    <w:tmpl w:val="25B654F3"/>
    <w:lvl w:ilvl="0" w:tentative="0">
      <w:start w:val="1"/>
      <w:numFmt w:val="decimal"/>
      <w:lvlText w:val="%1."/>
      <w:lvlJc w:val="left"/>
      <w:pPr>
        <w:tabs>
          <w:tab w:val="left" w:pos="440"/>
        </w:tabs>
        <w:ind w:left="440" w:hanging="440"/>
      </w:pPr>
      <w:rPr>
        <w:rFonts w:hint="default"/>
      </w:r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abstractNum w:abstractNumId="7">
    <w:nsid w:val="59ADCABA"/>
    <w:multiLevelType w:val="multilevel"/>
    <w:tmpl w:val="59ADCABA"/>
    <w:lvl w:ilvl="0" w:tentative="0">
      <w:start w:val="1"/>
      <w:numFmt w:val="decimal"/>
      <w:lvlText w:val="%1."/>
      <w:lvlJc w:val="left"/>
      <w:pPr>
        <w:tabs>
          <w:tab w:val="left" w:pos="440"/>
        </w:tabs>
        <w:ind w:left="440" w:hanging="440"/>
      </w:pPr>
      <w:rPr>
        <w:rFonts w:hint="default"/>
      </w:r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abstractNum w:abstractNumId="8">
    <w:nsid w:val="72183CF9"/>
    <w:multiLevelType w:val="multilevel"/>
    <w:tmpl w:val="72183CF9"/>
    <w:lvl w:ilvl="0" w:tentative="0">
      <w:start w:val="1"/>
      <w:numFmt w:val="decimal"/>
      <w:lvlText w:val="%1."/>
      <w:lvlJc w:val="left"/>
      <w:pPr>
        <w:tabs>
          <w:tab w:val="left" w:pos="440"/>
        </w:tabs>
        <w:ind w:left="440" w:hanging="440"/>
      </w:pPr>
      <w:rPr>
        <w:rFonts w:hint="default"/>
      </w:rPr>
    </w:lvl>
    <w:lvl w:ilvl="1" w:tentative="0">
      <w:start w:val="1"/>
      <w:numFmt w:val="lowerLetter"/>
      <w:lvlText w:val="%2."/>
      <w:lvlJc w:val="left"/>
      <w:pPr>
        <w:tabs>
          <w:tab w:val="left" w:pos="880"/>
        </w:tabs>
        <w:ind w:left="880" w:hanging="440"/>
      </w:pPr>
      <w:rPr>
        <w:rFonts w:hint="default"/>
      </w:rPr>
    </w:lvl>
    <w:lvl w:ilvl="2" w:tentative="0">
      <w:start w:val="1"/>
      <w:numFmt w:val="lowerRoman"/>
      <w:lvlText w:val="%3."/>
      <w:lvlJc w:val="left"/>
      <w:pPr>
        <w:tabs>
          <w:tab w:val="left" w:pos="1320"/>
        </w:tabs>
        <w:ind w:left="1320" w:hanging="440"/>
      </w:pPr>
      <w:rPr>
        <w:rFonts w:hint="default"/>
      </w:rPr>
    </w:lvl>
    <w:lvl w:ilvl="3" w:tentative="0">
      <w:start w:val="1"/>
      <w:numFmt w:val="decimal"/>
      <w:lvlText w:val="%4."/>
      <w:lvlJc w:val="left"/>
      <w:pPr>
        <w:tabs>
          <w:tab w:val="left" w:pos="1760"/>
        </w:tabs>
        <w:ind w:left="1760" w:hanging="440"/>
      </w:pPr>
      <w:rPr>
        <w:rFonts w:hint="default"/>
      </w:rPr>
    </w:lvl>
    <w:lvl w:ilvl="4" w:tentative="0">
      <w:start w:val="1"/>
      <w:numFmt w:val="lowerLetter"/>
      <w:lvlText w:val="%5."/>
      <w:lvlJc w:val="left"/>
      <w:pPr>
        <w:tabs>
          <w:tab w:val="left" w:pos="2200"/>
        </w:tabs>
        <w:ind w:left="2200" w:hanging="440"/>
      </w:pPr>
      <w:rPr>
        <w:rFonts w:hint="default"/>
      </w:rPr>
    </w:lvl>
    <w:lvl w:ilvl="5" w:tentative="0">
      <w:start w:val="1"/>
      <w:numFmt w:val="lowerRoman"/>
      <w:lvlText w:val="%6."/>
      <w:lvlJc w:val="left"/>
      <w:pPr>
        <w:tabs>
          <w:tab w:val="left" w:pos="2640"/>
        </w:tabs>
        <w:ind w:left="2640" w:hanging="440"/>
      </w:pPr>
      <w:rPr>
        <w:rFonts w:hint="default"/>
      </w:rPr>
    </w:lvl>
    <w:lvl w:ilvl="6" w:tentative="0">
      <w:start w:val="1"/>
      <w:numFmt w:val="decimal"/>
      <w:lvlText w:val="%7."/>
      <w:lvlJc w:val="left"/>
      <w:pPr>
        <w:tabs>
          <w:tab w:val="left" w:pos="3080"/>
        </w:tabs>
        <w:ind w:left="3080" w:hanging="440"/>
      </w:pPr>
      <w:rPr>
        <w:rFonts w:hint="default"/>
      </w:rPr>
    </w:lvl>
    <w:lvl w:ilvl="7" w:tentative="0">
      <w:start w:val="1"/>
      <w:numFmt w:val="lowerLetter"/>
      <w:lvlText w:val="%8."/>
      <w:lvlJc w:val="left"/>
      <w:pPr>
        <w:tabs>
          <w:tab w:val="left" w:pos="3520"/>
        </w:tabs>
        <w:ind w:left="3520" w:hanging="440"/>
      </w:pPr>
      <w:rPr>
        <w:rFonts w:hint="default"/>
      </w:rPr>
    </w:lvl>
    <w:lvl w:ilvl="8" w:tentative="0">
      <w:start w:val="1"/>
      <w:numFmt w:val="lowerRoman"/>
      <w:lvlText w:val="%9."/>
      <w:lvlJc w:val="left"/>
      <w:pPr>
        <w:tabs>
          <w:tab w:val="left" w:pos="3960"/>
        </w:tabs>
        <w:ind w:left="3960" w:hanging="440"/>
      </w:pPr>
      <w:rPr>
        <w:rFonts w:hint="default"/>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rsids>
    <w:rsidRoot w:val="00000000"/>
    <w:rsid w:val="5F9639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autoRedefine/>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autoRedefine/>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autoRedefine/>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uiPriority w:val="99"/>
    <w:pPr>
      <w:ind w:left="720"/>
    </w:pPr>
  </w:style>
  <w:style w:type="paragraph" w:styleId="7">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autoRedefine/>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autoRedefine/>
    <w:uiPriority w:val="99"/>
  </w:style>
  <w:style w:type="character" w:customStyle="1" w:styleId="17">
    <w:name w:val="Heading 1 Char"/>
    <w:basedOn w:val="13"/>
    <w:link w:val="2"/>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autoRedefine/>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2024-05-14T07:48:17Z</dcterms:created>
  <dc:creator>托马斯-李</dc:creator>
  <cp:lastModifiedBy>托马斯-李</cp:lastModifiedBy>
  <dcterms:modified xsi:type="dcterms:W3CDTF">2024-05-14T07:48:38Z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690F6E68979B43F5B0028021A634EE47_13</vt:lpwstr>
  </property>
</Properties>
</file>