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96"/>
          <w:szCs w:val="160"/>
          <w:lang w:eastAsia="zh-CN"/>
        </w:rPr>
      </w:pPr>
    </w:p>
    <w:p>
      <w:pPr>
        <w:jc w:val="center"/>
        <w:rPr>
          <w:rFonts w:hint="eastAsia"/>
          <w:b/>
          <w:bCs/>
          <w:sz w:val="96"/>
          <w:szCs w:val="160"/>
          <w:lang w:eastAsia="zh-CN"/>
        </w:rPr>
      </w:pPr>
    </w:p>
    <w:p>
      <w:pPr>
        <w:jc w:val="center"/>
        <w:rPr>
          <w:rFonts w:hint="eastAsia"/>
          <w:lang w:eastAsia="zh-CN"/>
        </w:rPr>
      </w:pPr>
      <w:r>
        <w:rPr>
          <w:rFonts w:hint="eastAsia"/>
          <w:b/>
          <w:bCs/>
          <w:sz w:val="96"/>
          <w:szCs w:val="160"/>
          <w:lang w:eastAsia="zh-CN"/>
        </w:rPr>
        <w:t>法律法规处罚清单</w:t>
      </w:r>
    </w:p>
    <w:p>
      <w:pPr>
        <w:jc w:val="center"/>
        <w:rPr>
          <w:rFonts w:hint="eastAsia"/>
          <w:sz w:val="28"/>
          <w:szCs w:val="36"/>
          <w:lang w:eastAsia="zh-CN"/>
        </w:rPr>
      </w:pPr>
    </w:p>
    <w:p>
      <w:pPr>
        <w:jc w:val="center"/>
        <w:rPr>
          <w:rFonts w:hint="eastAsia"/>
          <w:sz w:val="28"/>
          <w:szCs w:val="36"/>
          <w:lang w:eastAsia="zh-CN"/>
        </w:rPr>
      </w:pPr>
      <w:r>
        <w:rPr>
          <w:rFonts w:hint="eastAsia"/>
          <w:sz w:val="28"/>
          <w:szCs w:val="36"/>
          <w:lang w:eastAsia="zh-CN"/>
        </w:rPr>
        <w:t>（供企业主要负责人、管理人员、安全管理人员学习参考）</w:t>
      </w: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680" w:firstLineChars="1300"/>
        <w:jc w:val="both"/>
        <w:rPr>
          <w:rFonts w:hint="eastAsia"/>
          <w:sz w:val="36"/>
          <w:szCs w:val="44"/>
          <w:lang w:eastAsia="zh-CN"/>
        </w:rPr>
      </w:pPr>
      <w:r>
        <w:rPr>
          <w:rFonts w:hint="eastAsia"/>
          <w:sz w:val="36"/>
          <w:szCs w:val="44"/>
          <w:lang w:eastAsia="zh-CN"/>
        </w:rPr>
        <w:t>阆中浩森玻璃制品有限公司</w:t>
      </w:r>
    </w:p>
    <w:p>
      <w:pPr>
        <w:rPr>
          <w:rFonts w:hint="eastAsia"/>
          <w:lang w:val="en-US" w:eastAsia="zh-CN"/>
        </w:rPr>
      </w:pPr>
    </w:p>
    <w:p>
      <w:pPr>
        <w:rPr>
          <w:rFonts w:hint="eastAsia"/>
          <w:lang w:val="en-US" w:eastAsia="zh-CN"/>
        </w:rPr>
      </w:pPr>
    </w:p>
    <w:p>
      <w:pPr>
        <w:jc w:val="center"/>
        <w:rPr>
          <w:rFonts w:hint="eastAsia"/>
          <w:sz w:val="40"/>
          <w:szCs w:val="48"/>
          <w:lang w:val="en-US" w:eastAsia="zh-CN"/>
        </w:rPr>
        <w:sectPr>
          <w:pgSz w:w="16838" w:h="11906" w:orient="landscape"/>
          <w:pgMar w:top="1080" w:right="1440" w:bottom="1080" w:left="1440" w:header="851" w:footer="992" w:gutter="0"/>
          <w:cols w:space="425" w:num="1"/>
          <w:docGrid w:type="lines" w:linePitch="312" w:charSpace="0"/>
        </w:sectPr>
      </w:pPr>
      <w:r>
        <w:rPr>
          <w:rFonts w:hint="eastAsia"/>
          <w:sz w:val="40"/>
          <w:szCs w:val="48"/>
          <w:lang w:val="en-US" w:eastAsia="zh-CN"/>
        </w:rPr>
        <w:t>2021</w:t>
      </w:r>
    </w:p>
    <w:p>
      <w:pPr>
        <w:jc w:val="center"/>
        <w:rPr>
          <w:rFonts w:hint="default"/>
          <w:sz w:val="40"/>
          <w:szCs w:val="48"/>
          <w:lang w:val="en-US" w:eastAsia="zh-CN"/>
        </w:rPr>
      </w:pPr>
    </w:p>
    <w:p>
      <w:pPr>
        <w:jc w:val="center"/>
        <w:rPr>
          <w:rFonts w:hint="default"/>
          <w:sz w:val="40"/>
          <w:szCs w:val="48"/>
          <w:lang w:val="en-US" w:eastAsia="zh-CN"/>
        </w:rPr>
      </w:pPr>
    </w:p>
    <w:p>
      <w:pPr>
        <w:jc w:val="center"/>
        <w:rPr>
          <w:rFonts w:hint="eastAsia"/>
          <w:sz w:val="96"/>
          <w:szCs w:val="160"/>
          <w:lang w:val="en-US" w:eastAsia="zh-CN"/>
        </w:rPr>
      </w:pPr>
      <w:r>
        <w:rPr>
          <w:rFonts w:hint="eastAsia"/>
          <w:sz w:val="72"/>
          <w:szCs w:val="144"/>
          <w:lang w:val="en-US" w:eastAsia="zh-CN"/>
        </w:rPr>
        <w:t>内容目录</w:t>
      </w:r>
    </w:p>
    <w:p>
      <w:pPr>
        <w:numPr>
          <w:ilvl w:val="0"/>
          <w:numId w:val="0"/>
        </w:numPr>
        <w:jc w:val="both"/>
        <w:rPr>
          <w:rFonts w:hint="eastAsia"/>
          <w:sz w:val="40"/>
          <w:szCs w:val="48"/>
          <w:lang w:val="en-US" w:eastAsia="zh-CN"/>
        </w:rPr>
      </w:pPr>
      <w:r>
        <w:rPr>
          <w:rFonts w:hint="eastAsia"/>
          <w:sz w:val="40"/>
          <w:szCs w:val="48"/>
          <w:lang w:val="en-US" w:eastAsia="zh-CN"/>
        </w:rPr>
        <w:t xml:space="preserve">    </w:t>
      </w:r>
    </w:p>
    <w:p>
      <w:pPr>
        <w:numPr>
          <w:ilvl w:val="0"/>
          <w:numId w:val="0"/>
        </w:numPr>
        <w:ind w:firstLine="800" w:firstLineChars="200"/>
        <w:jc w:val="both"/>
        <w:rPr>
          <w:rFonts w:hint="eastAsia"/>
          <w:sz w:val="40"/>
          <w:szCs w:val="48"/>
          <w:lang w:val="en-US" w:eastAsia="zh-CN"/>
        </w:rPr>
      </w:pPr>
      <w:r>
        <w:rPr>
          <w:rFonts w:hint="eastAsia"/>
          <w:sz w:val="40"/>
          <w:szCs w:val="48"/>
          <w:lang w:val="en-US" w:eastAsia="zh-CN"/>
        </w:rPr>
        <w:t>一、综合事项检查执法处罚清单.......................................1-9</w:t>
      </w:r>
    </w:p>
    <w:p>
      <w:pPr>
        <w:numPr>
          <w:ilvl w:val="0"/>
          <w:numId w:val="0"/>
        </w:numPr>
        <w:tabs>
          <w:tab w:val="left" w:pos="1680"/>
        </w:tabs>
        <w:ind w:firstLine="800" w:firstLineChars="200"/>
        <w:jc w:val="both"/>
        <w:rPr>
          <w:rFonts w:hint="eastAsia"/>
          <w:sz w:val="40"/>
          <w:szCs w:val="48"/>
          <w:lang w:val="en-US" w:eastAsia="zh-CN"/>
        </w:rPr>
        <w:sectPr>
          <w:pgSz w:w="16838" w:h="11906" w:orient="landscape"/>
          <w:pgMar w:top="1497" w:right="2880" w:bottom="1440" w:left="2880" w:header="851" w:footer="992" w:gutter="0"/>
          <w:paperSrc/>
          <w:cols w:space="0" w:num="1"/>
          <w:rtlGutter w:val="0"/>
          <w:docGrid w:type="lines" w:linePitch="312" w:charSpace="0"/>
        </w:sectPr>
      </w:pPr>
      <w:r>
        <w:rPr>
          <w:rFonts w:hint="eastAsia"/>
          <w:sz w:val="40"/>
          <w:szCs w:val="48"/>
          <w:lang w:val="en-US" w:eastAsia="zh-CN"/>
        </w:rPr>
        <w:t>二、工贸有限空间专顶检查执法处罚清单.......................1-3</w:t>
      </w:r>
    </w:p>
    <w:p>
      <w:pPr>
        <w:numPr>
          <w:ilvl w:val="0"/>
          <w:numId w:val="0"/>
        </w:numPr>
        <w:jc w:val="center"/>
        <w:rPr>
          <w:rFonts w:hint="eastAsia"/>
          <w:sz w:val="40"/>
          <w:szCs w:val="48"/>
          <w:lang w:val="en-US" w:eastAsia="zh-CN"/>
        </w:rPr>
      </w:pPr>
      <w:r>
        <w:rPr>
          <w:rFonts w:hint="eastAsia"/>
          <w:sz w:val="40"/>
          <w:szCs w:val="48"/>
          <w:lang w:val="en-US" w:eastAsia="zh-CN"/>
        </w:rPr>
        <w:t>监管执法综合事项检查清单</w:t>
      </w:r>
    </w:p>
    <w:tbl>
      <w:tblPr>
        <w:tblStyle w:val="3"/>
        <w:tblW w:w="15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659"/>
        <w:gridCol w:w="1138"/>
        <w:gridCol w:w="4966"/>
        <w:gridCol w:w="6286"/>
        <w:gridCol w:w="697"/>
        <w:gridCol w:w="720"/>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441" w:type="dxa"/>
          </w:tcPr>
          <w:p>
            <w:pPr>
              <w:numPr>
                <w:ilvl w:val="0"/>
                <w:numId w:val="0"/>
              </w:numPr>
              <w:jc w:val="both"/>
              <w:rPr>
                <w:rFonts w:hint="default"/>
                <w:b/>
                <w:bCs/>
                <w:sz w:val="20"/>
                <w:szCs w:val="22"/>
                <w:vertAlign w:val="baseline"/>
                <w:lang w:val="en-US" w:eastAsia="zh-CN"/>
              </w:rPr>
            </w:pPr>
            <w:r>
              <w:rPr>
                <w:rFonts w:hint="eastAsia"/>
                <w:b/>
                <w:bCs/>
                <w:sz w:val="20"/>
                <w:szCs w:val="22"/>
                <w:vertAlign w:val="baseline"/>
                <w:lang w:val="en-US" w:eastAsia="zh-CN"/>
              </w:rPr>
              <w:t>序号</w:t>
            </w:r>
          </w:p>
        </w:tc>
        <w:tc>
          <w:tcPr>
            <w:tcW w:w="659" w:type="dxa"/>
            <w:vAlign w:val="center"/>
          </w:tcPr>
          <w:p>
            <w:pPr>
              <w:numPr>
                <w:ilvl w:val="0"/>
                <w:numId w:val="0"/>
              </w:numPr>
              <w:jc w:val="center"/>
              <w:rPr>
                <w:rFonts w:hint="default"/>
                <w:b/>
                <w:bCs/>
                <w:sz w:val="20"/>
                <w:szCs w:val="22"/>
                <w:vertAlign w:val="baseline"/>
                <w:lang w:val="en-US" w:eastAsia="zh-CN"/>
              </w:rPr>
            </w:pPr>
            <w:r>
              <w:rPr>
                <w:rFonts w:hint="eastAsia"/>
                <w:b/>
                <w:bCs/>
                <w:sz w:val="20"/>
                <w:szCs w:val="22"/>
                <w:vertAlign w:val="baseline"/>
                <w:lang w:val="en-US" w:eastAsia="zh-CN"/>
              </w:rPr>
              <w:t>检查事项</w:t>
            </w:r>
          </w:p>
        </w:tc>
        <w:tc>
          <w:tcPr>
            <w:tcW w:w="1138" w:type="dxa"/>
            <w:vAlign w:val="center"/>
          </w:tcPr>
          <w:p>
            <w:pPr>
              <w:numPr>
                <w:ilvl w:val="0"/>
                <w:numId w:val="0"/>
              </w:numPr>
              <w:jc w:val="center"/>
              <w:rPr>
                <w:rFonts w:hint="default"/>
                <w:b/>
                <w:bCs/>
                <w:sz w:val="20"/>
                <w:szCs w:val="22"/>
                <w:vertAlign w:val="baseline"/>
                <w:lang w:val="en-US" w:eastAsia="zh-CN"/>
              </w:rPr>
            </w:pPr>
            <w:r>
              <w:rPr>
                <w:rFonts w:hint="eastAsia"/>
                <w:b/>
                <w:bCs/>
                <w:sz w:val="20"/>
                <w:szCs w:val="22"/>
                <w:vertAlign w:val="baseline"/>
                <w:lang w:val="en-US" w:eastAsia="zh-CN"/>
              </w:rPr>
              <w:t>检查内容</w:t>
            </w:r>
          </w:p>
        </w:tc>
        <w:tc>
          <w:tcPr>
            <w:tcW w:w="4966" w:type="dxa"/>
            <w:vAlign w:val="center"/>
          </w:tcPr>
          <w:p>
            <w:pPr>
              <w:numPr>
                <w:ilvl w:val="0"/>
                <w:numId w:val="0"/>
              </w:numPr>
              <w:jc w:val="center"/>
              <w:rPr>
                <w:rFonts w:hint="default"/>
                <w:b/>
                <w:bCs/>
                <w:sz w:val="20"/>
                <w:szCs w:val="22"/>
                <w:vertAlign w:val="baseline"/>
                <w:lang w:val="en-US" w:eastAsia="zh-CN"/>
              </w:rPr>
            </w:pPr>
            <w:r>
              <w:rPr>
                <w:rFonts w:hint="eastAsia"/>
                <w:b/>
                <w:bCs/>
                <w:sz w:val="20"/>
                <w:szCs w:val="22"/>
                <w:vertAlign w:val="baseline"/>
                <w:lang w:val="en-US" w:eastAsia="zh-CN"/>
              </w:rPr>
              <w:t>检查依据</w:t>
            </w:r>
          </w:p>
        </w:tc>
        <w:tc>
          <w:tcPr>
            <w:tcW w:w="6286" w:type="dxa"/>
            <w:vAlign w:val="center"/>
          </w:tcPr>
          <w:p>
            <w:pPr>
              <w:numPr>
                <w:ilvl w:val="0"/>
                <w:numId w:val="0"/>
              </w:numPr>
              <w:jc w:val="center"/>
              <w:rPr>
                <w:rFonts w:hint="default"/>
                <w:b/>
                <w:bCs/>
                <w:sz w:val="20"/>
                <w:szCs w:val="22"/>
                <w:vertAlign w:val="baseline"/>
                <w:lang w:val="en-US" w:eastAsia="zh-CN"/>
              </w:rPr>
            </w:pPr>
            <w:r>
              <w:rPr>
                <w:rFonts w:hint="eastAsia"/>
                <w:b/>
                <w:bCs/>
                <w:sz w:val="20"/>
                <w:szCs w:val="22"/>
                <w:vertAlign w:val="baseline"/>
                <w:lang w:val="en-US" w:eastAsia="zh-CN"/>
              </w:rPr>
              <w:t>法律责任</w:t>
            </w:r>
          </w:p>
        </w:tc>
        <w:tc>
          <w:tcPr>
            <w:tcW w:w="697" w:type="dxa"/>
            <w:vAlign w:val="center"/>
          </w:tcPr>
          <w:p>
            <w:pPr>
              <w:numPr>
                <w:ilvl w:val="0"/>
                <w:numId w:val="0"/>
              </w:numPr>
              <w:jc w:val="center"/>
              <w:rPr>
                <w:rFonts w:hint="default"/>
                <w:b/>
                <w:bCs/>
                <w:sz w:val="20"/>
                <w:szCs w:val="22"/>
                <w:vertAlign w:val="baseline"/>
                <w:lang w:val="en-US" w:eastAsia="zh-CN"/>
              </w:rPr>
            </w:pPr>
            <w:r>
              <w:rPr>
                <w:rFonts w:hint="eastAsia"/>
                <w:b/>
                <w:bCs/>
                <w:sz w:val="20"/>
                <w:szCs w:val="22"/>
                <w:vertAlign w:val="baseline"/>
                <w:lang w:val="en-US" w:eastAsia="zh-CN"/>
              </w:rPr>
              <w:t>检查情况</w:t>
            </w:r>
          </w:p>
        </w:tc>
        <w:tc>
          <w:tcPr>
            <w:tcW w:w="720" w:type="dxa"/>
            <w:vAlign w:val="center"/>
          </w:tcPr>
          <w:p>
            <w:pPr>
              <w:numPr>
                <w:ilvl w:val="0"/>
                <w:numId w:val="0"/>
              </w:numPr>
              <w:jc w:val="center"/>
              <w:rPr>
                <w:rFonts w:hint="default"/>
                <w:b/>
                <w:bCs/>
                <w:sz w:val="20"/>
                <w:szCs w:val="22"/>
                <w:vertAlign w:val="baseline"/>
                <w:lang w:val="en-US" w:eastAsia="zh-CN"/>
              </w:rPr>
            </w:pPr>
            <w:r>
              <w:rPr>
                <w:rFonts w:hint="eastAsia"/>
                <w:b/>
                <w:bCs/>
                <w:sz w:val="20"/>
                <w:szCs w:val="22"/>
                <w:vertAlign w:val="baseline"/>
                <w:lang w:val="en-US" w:eastAsia="zh-CN"/>
              </w:rPr>
              <w:t>处理建议</w:t>
            </w:r>
          </w:p>
        </w:tc>
        <w:tc>
          <w:tcPr>
            <w:tcW w:w="493" w:type="dxa"/>
            <w:vAlign w:val="center"/>
          </w:tcPr>
          <w:p>
            <w:pPr>
              <w:numPr>
                <w:ilvl w:val="0"/>
                <w:numId w:val="0"/>
              </w:numPr>
              <w:jc w:val="center"/>
              <w:rPr>
                <w:rFonts w:hint="default"/>
                <w:b/>
                <w:bCs/>
                <w:sz w:val="20"/>
                <w:szCs w:val="22"/>
                <w:vertAlign w:val="baseline"/>
                <w:lang w:val="en-US" w:eastAsia="zh-CN"/>
              </w:rPr>
            </w:pPr>
            <w:r>
              <w:rPr>
                <w:rFonts w:hint="eastAsia"/>
                <w:b/>
                <w:bCs/>
                <w:sz w:val="20"/>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8" w:hRule="atLeast"/>
        </w:trPr>
        <w:tc>
          <w:tcPr>
            <w:tcW w:w="441" w:type="dxa"/>
            <w:vAlign w:val="center"/>
          </w:tcPr>
          <w:p>
            <w:pPr>
              <w:numPr>
                <w:ilvl w:val="0"/>
                <w:numId w:val="0"/>
              </w:numPr>
              <w:jc w:val="center"/>
              <w:rPr>
                <w:rFonts w:hint="default"/>
                <w:sz w:val="18"/>
                <w:szCs w:val="21"/>
                <w:vertAlign w:val="baseline"/>
                <w:lang w:val="en-US" w:eastAsia="zh-CN"/>
              </w:rPr>
            </w:pPr>
            <w:r>
              <w:rPr>
                <w:rFonts w:hint="eastAsia"/>
                <w:sz w:val="18"/>
                <w:szCs w:val="21"/>
                <w:vertAlign w:val="baseline"/>
                <w:lang w:val="en-US" w:eastAsia="zh-CN"/>
              </w:rPr>
              <w:t>1</w:t>
            </w:r>
          </w:p>
        </w:tc>
        <w:tc>
          <w:tcPr>
            <w:tcW w:w="659" w:type="dxa"/>
            <w:vAlign w:val="center"/>
          </w:tcPr>
          <w:p>
            <w:pPr>
              <w:numPr>
                <w:ilvl w:val="0"/>
                <w:numId w:val="0"/>
              </w:numPr>
              <w:jc w:val="center"/>
              <w:rPr>
                <w:rFonts w:hint="default"/>
                <w:sz w:val="18"/>
                <w:szCs w:val="21"/>
                <w:vertAlign w:val="baseline"/>
                <w:lang w:val="en-US" w:eastAsia="zh-CN"/>
              </w:rPr>
            </w:pPr>
            <w:r>
              <w:rPr>
                <w:rFonts w:hint="eastAsia"/>
                <w:sz w:val="18"/>
                <w:szCs w:val="21"/>
                <w:vertAlign w:val="baseline"/>
                <w:lang w:val="en-US" w:eastAsia="zh-CN"/>
              </w:rPr>
              <w:t>主要负责人履行职责情况</w:t>
            </w:r>
          </w:p>
        </w:tc>
        <w:tc>
          <w:tcPr>
            <w:tcW w:w="1138" w:type="dxa"/>
            <w:vAlign w:val="center"/>
          </w:tcPr>
          <w:p>
            <w:pPr>
              <w:numPr>
                <w:ilvl w:val="0"/>
                <w:numId w:val="0"/>
              </w:numPr>
              <w:jc w:val="left"/>
              <w:rPr>
                <w:rFonts w:hint="default"/>
                <w:sz w:val="18"/>
                <w:szCs w:val="21"/>
                <w:vertAlign w:val="baseline"/>
                <w:lang w:val="en-US" w:eastAsia="zh-CN"/>
              </w:rPr>
            </w:pPr>
            <w:r>
              <w:rPr>
                <w:rFonts w:hint="eastAsia"/>
                <w:sz w:val="18"/>
                <w:szCs w:val="21"/>
                <w:vertAlign w:val="baseline"/>
                <w:lang w:val="en-US" w:eastAsia="zh-CN"/>
              </w:rPr>
              <w:t>生产经营单位的主要负责人履行对本单位安全生产工作法定职责</w:t>
            </w:r>
          </w:p>
        </w:tc>
        <w:tc>
          <w:tcPr>
            <w:tcW w:w="4966" w:type="dxa"/>
            <w:vAlign w:val="center"/>
          </w:tcPr>
          <w:p>
            <w:pPr>
              <w:numPr>
                <w:ilvl w:val="0"/>
                <w:numId w:val="0"/>
              </w:numPr>
              <w:jc w:val="both"/>
              <w:rPr>
                <w:rFonts w:hint="eastAsia"/>
                <w:sz w:val="18"/>
                <w:szCs w:val="21"/>
                <w:vertAlign w:val="baseline"/>
                <w:lang w:val="en-US" w:eastAsia="zh-CN"/>
              </w:rPr>
            </w:pPr>
            <w:r>
              <w:rPr>
                <w:rFonts w:hint="eastAsia"/>
                <w:sz w:val="18"/>
                <w:szCs w:val="21"/>
                <w:vertAlign w:val="baseline"/>
                <w:lang w:val="en-US" w:eastAsia="zh-CN"/>
              </w:rPr>
              <w:t>《安全生产法》第二十一条 生产经营单位的主要负责人对本单位安全生产工作负有下列职责：</w:t>
            </w:r>
          </w:p>
          <w:p>
            <w:pPr>
              <w:numPr>
                <w:ilvl w:val="0"/>
                <w:numId w:val="1"/>
              </w:numPr>
              <w:jc w:val="both"/>
              <w:rPr>
                <w:rFonts w:hint="eastAsia"/>
                <w:sz w:val="18"/>
                <w:szCs w:val="21"/>
                <w:vertAlign w:val="baseline"/>
                <w:lang w:val="en-US" w:eastAsia="zh-CN"/>
              </w:rPr>
            </w:pPr>
            <w:r>
              <w:rPr>
                <w:rFonts w:hint="eastAsia"/>
                <w:sz w:val="18"/>
                <w:szCs w:val="21"/>
                <w:vertAlign w:val="baseline"/>
                <w:lang w:val="en-US" w:eastAsia="zh-CN"/>
              </w:rPr>
              <w:t>建立、健全并落实本单位全员安全生产责任制，加强安全生产标准化建设；</w:t>
            </w:r>
          </w:p>
          <w:p>
            <w:pPr>
              <w:numPr>
                <w:ilvl w:val="0"/>
                <w:numId w:val="1"/>
              </w:numPr>
              <w:jc w:val="both"/>
              <w:rPr>
                <w:rFonts w:hint="default"/>
                <w:sz w:val="18"/>
                <w:szCs w:val="21"/>
                <w:vertAlign w:val="baseline"/>
                <w:lang w:val="en-US" w:eastAsia="zh-CN"/>
              </w:rPr>
            </w:pPr>
            <w:r>
              <w:rPr>
                <w:rFonts w:hint="eastAsia"/>
                <w:sz w:val="18"/>
                <w:szCs w:val="21"/>
                <w:vertAlign w:val="baseline"/>
                <w:lang w:val="en-US" w:eastAsia="zh-CN"/>
              </w:rPr>
              <w:t>组织制定并实施本单位安全生产规章制度和操作规程；</w:t>
            </w:r>
          </w:p>
          <w:p>
            <w:pPr>
              <w:numPr>
                <w:ilvl w:val="0"/>
                <w:numId w:val="1"/>
              </w:numPr>
              <w:jc w:val="both"/>
              <w:rPr>
                <w:rFonts w:hint="default"/>
                <w:sz w:val="18"/>
                <w:szCs w:val="21"/>
                <w:vertAlign w:val="baseline"/>
                <w:lang w:val="en-US" w:eastAsia="zh-CN"/>
              </w:rPr>
            </w:pPr>
            <w:r>
              <w:rPr>
                <w:rFonts w:hint="eastAsia"/>
                <w:sz w:val="18"/>
                <w:szCs w:val="21"/>
                <w:vertAlign w:val="baseline"/>
                <w:lang w:val="en-US" w:eastAsia="zh-CN"/>
              </w:rPr>
              <w:t>组织制定并实施本单位安全生产教育和培训计划；</w:t>
            </w:r>
          </w:p>
          <w:p>
            <w:pPr>
              <w:numPr>
                <w:ilvl w:val="0"/>
                <w:numId w:val="1"/>
              </w:numPr>
              <w:jc w:val="both"/>
              <w:rPr>
                <w:rFonts w:hint="default"/>
                <w:sz w:val="18"/>
                <w:szCs w:val="21"/>
                <w:vertAlign w:val="baseline"/>
                <w:lang w:val="en-US" w:eastAsia="zh-CN"/>
              </w:rPr>
            </w:pPr>
            <w:r>
              <w:rPr>
                <w:rFonts w:hint="eastAsia"/>
                <w:sz w:val="18"/>
                <w:szCs w:val="21"/>
                <w:vertAlign w:val="baseline"/>
                <w:lang w:val="en-US" w:eastAsia="zh-CN"/>
              </w:rPr>
              <w:t>保证本单位安全生产投入的有效实施；</w:t>
            </w:r>
          </w:p>
          <w:p>
            <w:pPr>
              <w:numPr>
                <w:ilvl w:val="0"/>
                <w:numId w:val="1"/>
              </w:numPr>
              <w:jc w:val="both"/>
              <w:rPr>
                <w:rFonts w:hint="default"/>
                <w:sz w:val="18"/>
                <w:szCs w:val="21"/>
                <w:vertAlign w:val="baseline"/>
                <w:lang w:val="en-US" w:eastAsia="zh-CN"/>
              </w:rPr>
            </w:pPr>
            <w:r>
              <w:rPr>
                <w:rFonts w:hint="eastAsia"/>
                <w:sz w:val="18"/>
                <w:szCs w:val="21"/>
                <w:vertAlign w:val="baseline"/>
                <w:lang w:val="en-US" w:eastAsia="zh-CN"/>
              </w:rPr>
              <w:t>组织建立并落实安全风险分级管控和隐患排查治理双重预防工作机制，督促、检查本单位的安全生产工作，及时消除生产安全事故隐患；</w:t>
            </w:r>
          </w:p>
          <w:p>
            <w:pPr>
              <w:numPr>
                <w:ilvl w:val="0"/>
                <w:numId w:val="1"/>
              </w:numPr>
              <w:jc w:val="both"/>
              <w:rPr>
                <w:rFonts w:hint="default"/>
                <w:sz w:val="18"/>
                <w:szCs w:val="21"/>
                <w:vertAlign w:val="baseline"/>
                <w:lang w:val="en-US" w:eastAsia="zh-CN"/>
              </w:rPr>
            </w:pPr>
            <w:r>
              <w:rPr>
                <w:rFonts w:hint="eastAsia"/>
                <w:sz w:val="18"/>
                <w:szCs w:val="21"/>
                <w:vertAlign w:val="baseline"/>
                <w:lang w:val="en-US" w:eastAsia="zh-CN"/>
              </w:rPr>
              <w:t>组织制定并实施本单位的生产安全事故应急救援预案；</w:t>
            </w:r>
          </w:p>
          <w:p>
            <w:pPr>
              <w:numPr>
                <w:ilvl w:val="0"/>
                <w:numId w:val="1"/>
              </w:numPr>
              <w:jc w:val="both"/>
              <w:rPr>
                <w:rFonts w:hint="default"/>
                <w:sz w:val="18"/>
                <w:szCs w:val="21"/>
                <w:vertAlign w:val="baseline"/>
                <w:lang w:val="en-US" w:eastAsia="zh-CN"/>
              </w:rPr>
            </w:pPr>
            <w:r>
              <w:rPr>
                <w:rFonts w:hint="eastAsia"/>
                <w:sz w:val="18"/>
                <w:szCs w:val="21"/>
                <w:vertAlign w:val="baseline"/>
                <w:lang w:val="en-US" w:eastAsia="zh-CN"/>
              </w:rPr>
              <w:t>及时、如实报告生产安全事故。</w:t>
            </w:r>
          </w:p>
        </w:tc>
        <w:tc>
          <w:tcPr>
            <w:tcW w:w="6286" w:type="dxa"/>
            <w:vAlign w:val="center"/>
          </w:tcPr>
          <w:p>
            <w:pPr>
              <w:numPr>
                <w:ilvl w:val="0"/>
                <w:numId w:val="0"/>
              </w:numPr>
              <w:ind w:firstLine="360" w:firstLineChars="200"/>
              <w:jc w:val="left"/>
              <w:rPr>
                <w:rFonts w:hint="eastAsia"/>
                <w:sz w:val="18"/>
                <w:szCs w:val="21"/>
                <w:vertAlign w:val="baseline"/>
                <w:lang w:val="en-US" w:eastAsia="zh-CN"/>
              </w:rPr>
            </w:pPr>
            <w:r>
              <w:rPr>
                <w:rFonts w:hint="eastAsia"/>
                <w:sz w:val="18"/>
                <w:szCs w:val="21"/>
                <w:vertAlign w:val="baseline"/>
                <w:lang w:val="en-US" w:eastAsia="zh-CN"/>
              </w:rPr>
              <w:t>《安全生产法》第九十四条  生产经营单位的主要负责人未履行本法规定的安全生产管理职责的，责令限期改正，处二万元以上五万元以下的罚款；逾期未改正的，处五万元以上十万元以下的罚款，责令生产经营单位停产停业整顿。</w:t>
            </w:r>
          </w:p>
          <w:p>
            <w:pPr>
              <w:numPr>
                <w:ilvl w:val="0"/>
                <w:numId w:val="0"/>
              </w:numPr>
              <w:ind w:firstLine="360" w:firstLineChars="200"/>
              <w:jc w:val="left"/>
              <w:rPr>
                <w:rFonts w:hint="eastAsia"/>
                <w:sz w:val="18"/>
                <w:szCs w:val="21"/>
                <w:vertAlign w:val="baseline"/>
                <w:lang w:val="en-US" w:eastAsia="zh-CN"/>
              </w:rPr>
            </w:pPr>
            <w:r>
              <w:rPr>
                <w:rFonts w:hint="eastAsia"/>
                <w:sz w:val="18"/>
                <w:szCs w:val="21"/>
                <w:vertAlign w:val="baseline"/>
                <w:lang w:val="en-US" w:eastAsia="zh-CN"/>
              </w:rPr>
              <w:t>生产经营单位的主要负责人有前款违法行为，导致发生生产安全事故，给予撤职处分；构成犯罪的，依照刑法有关规定追究刑事责任。</w:t>
            </w:r>
          </w:p>
          <w:p>
            <w:pPr>
              <w:numPr>
                <w:ilvl w:val="0"/>
                <w:numId w:val="0"/>
              </w:numPr>
              <w:ind w:firstLine="360" w:firstLineChars="200"/>
              <w:jc w:val="left"/>
              <w:rPr>
                <w:rFonts w:hint="default"/>
                <w:sz w:val="18"/>
                <w:szCs w:val="21"/>
                <w:vertAlign w:val="baseline"/>
                <w:lang w:val="en-US" w:eastAsia="zh-CN"/>
              </w:rPr>
            </w:pPr>
            <w:r>
              <w:rPr>
                <w:rFonts w:hint="eastAsia"/>
                <w:sz w:val="18"/>
                <w:szCs w:val="21"/>
                <w:vertAlign w:val="baseline"/>
                <w:lang w:val="en-US" w:eastAsia="zh-CN"/>
              </w:rPr>
              <w:t>生产经营单位的主要负责人依照前款规定受刑事处罚或者撤职处分的，自刑罚执行完毕或者受处分之日起，五年内不得担任任何生产经营单位的主要负责人；对重大、特重大生产安全事故负有责任的，终身不得担任本行业生产经营单位的主要负责人。</w:t>
            </w:r>
          </w:p>
        </w:tc>
        <w:tc>
          <w:tcPr>
            <w:tcW w:w="697" w:type="dxa"/>
            <w:vAlign w:val="center"/>
          </w:tcPr>
          <w:p>
            <w:pPr>
              <w:numPr>
                <w:ilvl w:val="0"/>
                <w:numId w:val="0"/>
              </w:numPr>
              <w:jc w:val="center"/>
              <w:rPr>
                <w:rFonts w:hint="default"/>
                <w:sz w:val="18"/>
                <w:szCs w:val="21"/>
                <w:vertAlign w:val="baseline"/>
                <w:lang w:val="en-US" w:eastAsia="zh-CN"/>
              </w:rPr>
            </w:pPr>
          </w:p>
        </w:tc>
        <w:tc>
          <w:tcPr>
            <w:tcW w:w="720" w:type="dxa"/>
            <w:vAlign w:val="center"/>
          </w:tcPr>
          <w:p>
            <w:pPr>
              <w:numPr>
                <w:ilvl w:val="0"/>
                <w:numId w:val="0"/>
              </w:numPr>
              <w:jc w:val="center"/>
              <w:rPr>
                <w:rFonts w:hint="default"/>
                <w:sz w:val="18"/>
                <w:szCs w:val="21"/>
                <w:vertAlign w:val="baseline"/>
                <w:lang w:val="en-US" w:eastAsia="zh-CN"/>
              </w:rPr>
            </w:pPr>
          </w:p>
        </w:tc>
        <w:tc>
          <w:tcPr>
            <w:tcW w:w="493" w:type="dxa"/>
            <w:vAlign w:val="center"/>
          </w:tcPr>
          <w:p>
            <w:pPr>
              <w:numPr>
                <w:ilvl w:val="0"/>
                <w:numId w:val="0"/>
              </w:numPr>
              <w:jc w:val="center"/>
              <w:rPr>
                <w:rFonts w:hint="default"/>
                <w:sz w:val="18"/>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trPr>
        <w:tc>
          <w:tcPr>
            <w:tcW w:w="441" w:type="dxa"/>
            <w:vMerge w:val="restart"/>
            <w:vAlign w:val="center"/>
          </w:tcPr>
          <w:p>
            <w:pPr>
              <w:numPr>
                <w:ilvl w:val="0"/>
                <w:numId w:val="0"/>
              </w:numPr>
              <w:jc w:val="center"/>
              <w:rPr>
                <w:rFonts w:hint="default"/>
                <w:sz w:val="18"/>
                <w:szCs w:val="21"/>
                <w:vertAlign w:val="baseline"/>
                <w:lang w:val="en-US" w:eastAsia="zh-CN"/>
              </w:rPr>
            </w:pPr>
            <w:r>
              <w:rPr>
                <w:rFonts w:hint="eastAsia"/>
                <w:sz w:val="18"/>
                <w:szCs w:val="21"/>
                <w:vertAlign w:val="baseline"/>
                <w:lang w:val="en-US" w:eastAsia="zh-CN"/>
              </w:rPr>
              <w:t>2</w:t>
            </w:r>
          </w:p>
        </w:tc>
        <w:tc>
          <w:tcPr>
            <w:tcW w:w="659" w:type="dxa"/>
            <w:vMerge w:val="restart"/>
            <w:vAlign w:val="center"/>
          </w:tcPr>
          <w:p>
            <w:pPr>
              <w:numPr>
                <w:ilvl w:val="0"/>
                <w:numId w:val="0"/>
              </w:numPr>
              <w:jc w:val="center"/>
              <w:rPr>
                <w:rFonts w:hint="default"/>
                <w:sz w:val="18"/>
                <w:szCs w:val="21"/>
                <w:vertAlign w:val="baseline"/>
                <w:lang w:val="en-US" w:eastAsia="zh-CN"/>
              </w:rPr>
            </w:pPr>
            <w:r>
              <w:rPr>
                <w:rFonts w:hint="eastAsia"/>
                <w:sz w:val="18"/>
                <w:szCs w:val="21"/>
                <w:vertAlign w:val="baseline"/>
                <w:lang w:val="en-US" w:eastAsia="zh-CN"/>
              </w:rPr>
              <w:t>安全投入保障情况</w:t>
            </w:r>
          </w:p>
        </w:tc>
        <w:tc>
          <w:tcPr>
            <w:tcW w:w="1138" w:type="dxa"/>
            <w:vAlign w:val="center"/>
          </w:tcPr>
          <w:p>
            <w:pPr>
              <w:numPr>
                <w:ilvl w:val="0"/>
                <w:numId w:val="0"/>
              </w:numPr>
              <w:jc w:val="left"/>
              <w:rPr>
                <w:rFonts w:hint="default"/>
                <w:sz w:val="18"/>
                <w:szCs w:val="21"/>
                <w:vertAlign w:val="baseline"/>
                <w:lang w:val="en-US" w:eastAsia="zh-CN"/>
              </w:rPr>
            </w:pPr>
            <w:r>
              <w:rPr>
                <w:rFonts w:hint="eastAsia"/>
                <w:sz w:val="18"/>
                <w:szCs w:val="21"/>
                <w:vertAlign w:val="baseline"/>
                <w:lang w:val="en-US" w:eastAsia="zh-CN"/>
              </w:rPr>
              <w:t>2.1 资金投入保障</w:t>
            </w:r>
          </w:p>
        </w:tc>
        <w:tc>
          <w:tcPr>
            <w:tcW w:w="4966" w:type="dxa"/>
            <w:vAlign w:val="center"/>
          </w:tcPr>
          <w:p>
            <w:pPr>
              <w:numPr>
                <w:ilvl w:val="0"/>
                <w:numId w:val="0"/>
              </w:numPr>
              <w:jc w:val="both"/>
              <w:rPr>
                <w:rFonts w:hint="default"/>
                <w:sz w:val="18"/>
                <w:szCs w:val="21"/>
                <w:vertAlign w:val="baseline"/>
                <w:lang w:val="en-US" w:eastAsia="zh-CN"/>
              </w:rPr>
            </w:pPr>
            <w:r>
              <w:rPr>
                <w:rFonts w:hint="eastAsia"/>
                <w:sz w:val="18"/>
                <w:szCs w:val="21"/>
                <w:vertAlign w:val="baseline"/>
                <w:lang w:val="en-US" w:eastAsia="zh-CN"/>
              </w:rPr>
              <w:t>《安全生产法》第二十三条第一款  生产经营单位应当具备的安全生产条件所必需的资金投入，由生产经营单位的决策机构、主要负责人或者个人经营的投资人予以保证，并对由于安全生产所必需的资金投入不足导致的后果承担责任。</w:t>
            </w:r>
          </w:p>
        </w:tc>
        <w:tc>
          <w:tcPr>
            <w:tcW w:w="6286" w:type="dxa"/>
            <w:vAlign w:val="center"/>
          </w:tcPr>
          <w:p>
            <w:pPr>
              <w:numPr>
                <w:ilvl w:val="0"/>
                <w:numId w:val="0"/>
              </w:numPr>
              <w:ind w:firstLine="360" w:firstLineChars="200"/>
              <w:jc w:val="both"/>
              <w:rPr>
                <w:rFonts w:hint="eastAsia"/>
                <w:sz w:val="18"/>
                <w:szCs w:val="21"/>
                <w:vertAlign w:val="baseline"/>
                <w:lang w:val="en-US" w:eastAsia="zh-CN"/>
              </w:rPr>
            </w:pPr>
            <w:r>
              <w:rPr>
                <w:rFonts w:hint="eastAsia"/>
                <w:sz w:val="18"/>
                <w:szCs w:val="21"/>
                <w:vertAlign w:val="baseline"/>
                <w:lang w:val="en-US" w:eastAsia="zh-CN"/>
              </w:rPr>
              <w:t>《安全生产法》第九十三条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numPr>
                <w:ilvl w:val="0"/>
                <w:numId w:val="0"/>
              </w:numPr>
              <w:ind w:firstLine="360" w:firstLineChars="200"/>
              <w:jc w:val="both"/>
              <w:rPr>
                <w:rFonts w:hint="default"/>
                <w:sz w:val="18"/>
                <w:szCs w:val="21"/>
                <w:vertAlign w:val="baseline"/>
                <w:lang w:val="en-US" w:eastAsia="zh-CN"/>
              </w:rPr>
            </w:pPr>
            <w:r>
              <w:rPr>
                <w:rFonts w:hint="eastAsia"/>
                <w:sz w:val="18"/>
                <w:szCs w:val="21"/>
                <w:vertAlign w:val="baseline"/>
                <w:lang w:val="en-US" w:eastAsia="zh-CN"/>
              </w:rPr>
              <w:t>有前款违法行为，导致发生生产安全事故的，对生产经营单位的主要负责人给予撤职处分，对个人经营的投资人处二万元以上二十万元以下的罚款；构成犯罪的，依照刑法有关规定追究刑事责任。</w:t>
            </w:r>
          </w:p>
        </w:tc>
        <w:tc>
          <w:tcPr>
            <w:tcW w:w="697" w:type="dxa"/>
            <w:vAlign w:val="center"/>
          </w:tcPr>
          <w:p>
            <w:pPr>
              <w:numPr>
                <w:ilvl w:val="0"/>
                <w:numId w:val="0"/>
              </w:numPr>
              <w:jc w:val="center"/>
              <w:rPr>
                <w:rFonts w:hint="default"/>
                <w:sz w:val="18"/>
                <w:szCs w:val="21"/>
                <w:vertAlign w:val="baseline"/>
                <w:lang w:val="en-US" w:eastAsia="zh-CN"/>
              </w:rPr>
            </w:pPr>
          </w:p>
        </w:tc>
        <w:tc>
          <w:tcPr>
            <w:tcW w:w="720" w:type="dxa"/>
            <w:vAlign w:val="center"/>
          </w:tcPr>
          <w:p>
            <w:pPr>
              <w:numPr>
                <w:ilvl w:val="0"/>
                <w:numId w:val="0"/>
              </w:numPr>
              <w:jc w:val="center"/>
              <w:rPr>
                <w:rFonts w:hint="default"/>
                <w:sz w:val="18"/>
                <w:szCs w:val="21"/>
                <w:vertAlign w:val="baseline"/>
                <w:lang w:val="en-US" w:eastAsia="zh-CN"/>
              </w:rPr>
            </w:pPr>
          </w:p>
        </w:tc>
        <w:tc>
          <w:tcPr>
            <w:tcW w:w="493" w:type="dxa"/>
            <w:vAlign w:val="center"/>
          </w:tcPr>
          <w:p>
            <w:pPr>
              <w:numPr>
                <w:ilvl w:val="0"/>
                <w:numId w:val="0"/>
              </w:numPr>
              <w:jc w:val="center"/>
              <w:rPr>
                <w:rFonts w:hint="default"/>
                <w:sz w:val="18"/>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8" w:hRule="atLeast"/>
        </w:trPr>
        <w:tc>
          <w:tcPr>
            <w:tcW w:w="441" w:type="dxa"/>
            <w:vMerge w:val="continue"/>
          </w:tcPr>
          <w:p>
            <w:pPr>
              <w:numPr>
                <w:ilvl w:val="0"/>
                <w:numId w:val="0"/>
              </w:numPr>
              <w:jc w:val="center"/>
              <w:rPr>
                <w:rFonts w:hint="default"/>
                <w:sz w:val="18"/>
                <w:szCs w:val="21"/>
                <w:vertAlign w:val="baseline"/>
                <w:lang w:val="en-US" w:eastAsia="zh-CN"/>
              </w:rPr>
            </w:pPr>
          </w:p>
        </w:tc>
        <w:tc>
          <w:tcPr>
            <w:tcW w:w="659" w:type="dxa"/>
            <w:vMerge w:val="continue"/>
            <w:vAlign w:val="center"/>
          </w:tcPr>
          <w:p>
            <w:pPr>
              <w:numPr>
                <w:ilvl w:val="0"/>
                <w:numId w:val="0"/>
              </w:numPr>
              <w:jc w:val="center"/>
              <w:rPr>
                <w:rFonts w:hint="default"/>
                <w:sz w:val="18"/>
                <w:szCs w:val="21"/>
                <w:vertAlign w:val="baseline"/>
                <w:lang w:val="en-US" w:eastAsia="zh-CN"/>
              </w:rPr>
            </w:pPr>
          </w:p>
        </w:tc>
        <w:tc>
          <w:tcPr>
            <w:tcW w:w="1138" w:type="dxa"/>
            <w:vAlign w:val="center"/>
          </w:tcPr>
          <w:p>
            <w:pPr>
              <w:numPr>
                <w:ilvl w:val="0"/>
                <w:numId w:val="0"/>
              </w:numPr>
              <w:jc w:val="left"/>
              <w:rPr>
                <w:rFonts w:hint="default"/>
                <w:sz w:val="18"/>
                <w:szCs w:val="21"/>
                <w:vertAlign w:val="baseline"/>
                <w:lang w:val="en-US" w:eastAsia="zh-CN"/>
              </w:rPr>
            </w:pPr>
            <w:r>
              <w:rPr>
                <w:rFonts w:hint="eastAsia"/>
                <w:sz w:val="18"/>
                <w:szCs w:val="21"/>
                <w:vertAlign w:val="baseline"/>
                <w:lang w:val="en-US" w:eastAsia="zh-CN"/>
              </w:rPr>
              <w:t>2.2 安全费用提取和使用</w:t>
            </w:r>
          </w:p>
        </w:tc>
        <w:tc>
          <w:tcPr>
            <w:tcW w:w="4966" w:type="dxa"/>
            <w:vAlign w:val="center"/>
          </w:tcPr>
          <w:p>
            <w:pPr>
              <w:numPr>
                <w:ilvl w:val="0"/>
                <w:numId w:val="0"/>
              </w:numPr>
              <w:jc w:val="both"/>
              <w:rPr>
                <w:rFonts w:hint="eastAsia"/>
                <w:sz w:val="18"/>
                <w:szCs w:val="21"/>
                <w:vertAlign w:val="baseline"/>
                <w:lang w:val="en-US" w:eastAsia="zh-CN"/>
              </w:rPr>
            </w:pPr>
            <w:r>
              <w:rPr>
                <w:rFonts w:hint="eastAsia"/>
                <w:sz w:val="18"/>
                <w:szCs w:val="21"/>
                <w:vertAlign w:val="baseline"/>
                <w:lang w:val="en-US" w:eastAsia="zh-CN"/>
              </w:rPr>
              <w:t>《安全生产法》第二十三条第二款  有关生产经营单位应当按照规定提取和使用安全生产费用，专门用于改善安全生产条件。安全生产费用在成本中据实列支。安全生产费用提取、使用和监督管理的具体办法由国务院财政部门会同国务院安全生产监督管理部门征求国务院有关部门意见后制度。</w:t>
            </w:r>
          </w:p>
          <w:p>
            <w:pPr>
              <w:numPr>
                <w:ilvl w:val="0"/>
                <w:numId w:val="0"/>
              </w:numPr>
              <w:jc w:val="both"/>
              <w:rPr>
                <w:rFonts w:hint="default"/>
                <w:sz w:val="18"/>
                <w:szCs w:val="21"/>
                <w:vertAlign w:val="baseline"/>
                <w:lang w:val="en-US" w:eastAsia="zh-CN"/>
              </w:rPr>
            </w:pPr>
            <w:r>
              <w:rPr>
                <w:rFonts w:hint="eastAsia"/>
                <w:sz w:val="18"/>
                <w:szCs w:val="21"/>
                <w:vertAlign w:val="baseline"/>
                <w:lang w:val="en-US" w:eastAsia="zh-CN"/>
              </w:rPr>
              <w:t>（有关生产经营单位的范围及提取比例等，依照《企业安全生产费用提取和使用管理办法》（财务【2021】16号）等规定执行）</w:t>
            </w:r>
          </w:p>
        </w:tc>
        <w:tc>
          <w:tcPr>
            <w:tcW w:w="6286" w:type="dxa"/>
            <w:vAlign w:val="center"/>
          </w:tcPr>
          <w:p>
            <w:pPr>
              <w:numPr>
                <w:ilvl w:val="0"/>
                <w:numId w:val="0"/>
              </w:numPr>
              <w:ind w:firstLine="360" w:firstLineChars="200"/>
              <w:jc w:val="left"/>
              <w:rPr>
                <w:rFonts w:hint="eastAsia"/>
                <w:sz w:val="18"/>
                <w:szCs w:val="21"/>
                <w:vertAlign w:val="baseline"/>
                <w:lang w:val="en-US" w:eastAsia="zh-CN"/>
              </w:rPr>
            </w:pPr>
            <w:r>
              <w:rPr>
                <w:rFonts w:hint="eastAsia"/>
                <w:sz w:val="18"/>
                <w:szCs w:val="21"/>
                <w:vertAlign w:val="baseline"/>
                <w:lang w:val="en-US" w:eastAsia="zh-CN"/>
              </w:rPr>
              <w:t>《安全生产违法行为行政处罚办法》第四十三条  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的罚款，对生产经营单位的主要负责人、个人经营的投资人处5000元以上1万以下罚款；逾期未改正的，责令生产经营单位停产停业整顿；</w:t>
            </w:r>
          </w:p>
          <w:p>
            <w:pPr>
              <w:numPr>
                <w:ilvl w:val="0"/>
                <w:numId w:val="2"/>
              </w:numPr>
              <w:jc w:val="left"/>
              <w:rPr>
                <w:rFonts w:hint="eastAsia"/>
                <w:sz w:val="18"/>
                <w:szCs w:val="21"/>
                <w:vertAlign w:val="baseline"/>
                <w:lang w:val="en-US" w:eastAsia="zh-CN"/>
              </w:rPr>
            </w:pPr>
            <w:r>
              <w:rPr>
                <w:rFonts w:hint="eastAsia"/>
                <w:sz w:val="18"/>
                <w:szCs w:val="21"/>
                <w:vertAlign w:val="baseline"/>
                <w:lang w:val="en-US" w:eastAsia="zh-CN"/>
              </w:rPr>
              <w:t>提取或者使用安全生产费用；</w:t>
            </w:r>
          </w:p>
          <w:p>
            <w:pPr>
              <w:numPr>
                <w:ilvl w:val="0"/>
                <w:numId w:val="0"/>
              </w:numPr>
              <w:ind w:firstLine="360" w:firstLineChars="200"/>
              <w:jc w:val="left"/>
              <w:rPr>
                <w:rFonts w:hint="eastAsia"/>
                <w:sz w:val="18"/>
                <w:szCs w:val="21"/>
                <w:vertAlign w:val="baseline"/>
                <w:lang w:val="en-US" w:eastAsia="zh-CN"/>
              </w:rPr>
            </w:pPr>
            <w:r>
              <w:rPr>
                <w:rFonts w:hint="eastAsia"/>
                <w:sz w:val="18"/>
                <w:szCs w:val="21"/>
                <w:vertAlign w:val="baseline"/>
                <w:lang w:val="en-US" w:eastAsia="zh-CN"/>
              </w:rPr>
              <w:t>.........</w:t>
            </w:r>
          </w:p>
          <w:p>
            <w:pPr>
              <w:numPr>
                <w:ilvl w:val="0"/>
                <w:numId w:val="0"/>
              </w:numPr>
              <w:ind w:firstLine="360" w:firstLineChars="200"/>
              <w:jc w:val="left"/>
              <w:rPr>
                <w:rFonts w:hint="default"/>
                <w:sz w:val="18"/>
                <w:szCs w:val="21"/>
                <w:vertAlign w:val="baseline"/>
                <w:lang w:val="en-US" w:eastAsia="zh-CN"/>
              </w:rPr>
            </w:pPr>
            <w:r>
              <w:rPr>
                <w:rFonts w:hint="eastAsia"/>
                <w:sz w:val="18"/>
                <w:szCs w:val="21"/>
                <w:vertAlign w:val="baseline"/>
                <w:lang w:val="en-US" w:eastAsia="zh-CN"/>
              </w:rPr>
              <w:t>生产经营单位主要负责人、个人经营的投资人有前款违法行为，导致发生生产安全事故的，依照《生产安全事故罚款处罚规定（试行）》的规定给予处罚</w:t>
            </w:r>
          </w:p>
        </w:tc>
        <w:tc>
          <w:tcPr>
            <w:tcW w:w="697" w:type="dxa"/>
            <w:vAlign w:val="center"/>
          </w:tcPr>
          <w:p>
            <w:pPr>
              <w:numPr>
                <w:ilvl w:val="0"/>
                <w:numId w:val="0"/>
              </w:numPr>
              <w:jc w:val="center"/>
              <w:rPr>
                <w:rFonts w:hint="default"/>
                <w:sz w:val="18"/>
                <w:szCs w:val="21"/>
                <w:vertAlign w:val="baseline"/>
                <w:lang w:val="en-US" w:eastAsia="zh-CN"/>
              </w:rPr>
            </w:pPr>
          </w:p>
        </w:tc>
        <w:tc>
          <w:tcPr>
            <w:tcW w:w="720" w:type="dxa"/>
            <w:vAlign w:val="center"/>
          </w:tcPr>
          <w:p>
            <w:pPr>
              <w:numPr>
                <w:ilvl w:val="0"/>
                <w:numId w:val="0"/>
              </w:numPr>
              <w:jc w:val="center"/>
              <w:rPr>
                <w:rFonts w:hint="default"/>
                <w:sz w:val="18"/>
                <w:szCs w:val="21"/>
                <w:vertAlign w:val="baseline"/>
                <w:lang w:val="en-US" w:eastAsia="zh-CN"/>
              </w:rPr>
            </w:pPr>
          </w:p>
        </w:tc>
        <w:tc>
          <w:tcPr>
            <w:tcW w:w="493" w:type="dxa"/>
            <w:vAlign w:val="center"/>
          </w:tcPr>
          <w:p>
            <w:pPr>
              <w:numPr>
                <w:ilvl w:val="0"/>
                <w:numId w:val="0"/>
              </w:numPr>
              <w:jc w:val="center"/>
              <w:rPr>
                <w:rFonts w:hint="default"/>
                <w:sz w:val="18"/>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5" w:hRule="atLeast"/>
        </w:trPr>
        <w:tc>
          <w:tcPr>
            <w:tcW w:w="441" w:type="dxa"/>
            <w:vMerge w:val="continue"/>
          </w:tcPr>
          <w:p>
            <w:pPr>
              <w:numPr>
                <w:ilvl w:val="0"/>
                <w:numId w:val="0"/>
              </w:numPr>
              <w:jc w:val="center"/>
              <w:rPr>
                <w:rFonts w:hint="default"/>
                <w:sz w:val="21"/>
                <w:szCs w:val="24"/>
                <w:vertAlign w:val="baseline"/>
                <w:lang w:val="en-US" w:eastAsia="zh-CN"/>
              </w:rPr>
            </w:pPr>
          </w:p>
        </w:tc>
        <w:tc>
          <w:tcPr>
            <w:tcW w:w="659" w:type="dxa"/>
            <w:vMerge w:val="continue"/>
            <w:vAlign w:val="center"/>
          </w:tcPr>
          <w:p>
            <w:pPr>
              <w:numPr>
                <w:ilvl w:val="0"/>
                <w:numId w:val="0"/>
              </w:numPr>
              <w:jc w:val="center"/>
              <w:rPr>
                <w:rFonts w:hint="default"/>
                <w:sz w:val="21"/>
                <w:szCs w:val="24"/>
                <w:vertAlign w:val="baseline"/>
                <w:lang w:val="en-US" w:eastAsia="zh-CN"/>
              </w:rPr>
            </w:pPr>
          </w:p>
        </w:tc>
        <w:tc>
          <w:tcPr>
            <w:tcW w:w="1138" w:type="dxa"/>
            <w:vAlign w:val="center"/>
          </w:tcPr>
          <w:p>
            <w:pPr>
              <w:numPr>
                <w:ilvl w:val="0"/>
                <w:numId w:val="0"/>
              </w:numPr>
              <w:jc w:val="left"/>
              <w:rPr>
                <w:rFonts w:hint="default"/>
                <w:sz w:val="21"/>
                <w:szCs w:val="24"/>
                <w:vertAlign w:val="baseline"/>
                <w:lang w:val="en-US" w:eastAsia="zh-CN"/>
              </w:rPr>
            </w:pPr>
            <w:r>
              <w:rPr>
                <w:rFonts w:hint="eastAsia"/>
                <w:sz w:val="18"/>
                <w:szCs w:val="21"/>
                <w:vertAlign w:val="baseline"/>
                <w:lang w:val="en-US" w:eastAsia="zh-CN"/>
              </w:rPr>
              <w:t>2.3 劳动防护用品配备经费</w:t>
            </w:r>
          </w:p>
        </w:tc>
        <w:tc>
          <w:tcPr>
            <w:tcW w:w="4966" w:type="dxa"/>
            <w:vAlign w:val="center"/>
          </w:tcPr>
          <w:p>
            <w:pPr>
              <w:numPr>
                <w:ilvl w:val="0"/>
                <w:numId w:val="0"/>
              </w:numPr>
              <w:jc w:val="both"/>
              <w:rPr>
                <w:rFonts w:hint="default"/>
                <w:sz w:val="21"/>
                <w:szCs w:val="24"/>
                <w:vertAlign w:val="baseline"/>
                <w:lang w:val="en-US" w:eastAsia="zh-CN"/>
              </w:rPr>
            </w:pPr>
            <w:r>
              <w:rPr>
                <w:rFonts w:hint="eastAsia"/>
                <w:sz w:val="18"/>
                <w:szCs w:val="21"/>
                <w:vertAlign w:val="baseline"/>
                <w:lang w:val="en-US" w:eastAsia="zh-CN"/>
              </w:rPr>
              <w:t>《安全生产法》第四十四条  生产经营单位应当安排用于配备劳动防护用品、进行安全生产培训的经费。</w:t>
            </w:r>
          </w:p>
        </w:tc>
        <w:tc>
          <w:tcPr>
            <w:tcW w:w="6286" w:type="dxa"/>
            <w:vAlign w:val="center"/>
          </w:tcPr>
          <w:p>
            <w:pPr>
              <w:numPr>
                <w:ilvl w:val="0"/>
                <w:numId w:val="0"/>
              </w:numPr>
              <w:ind w:firstLine="180" w:firstLineChars="100"/>
              <w:jc w:val="both"/>
              <w:rPr>
                <w:rFonts w:hint="eastAsia"/>
                <w:sz w:val="18"/>
                <w:szCs w:val="21"/>
                <w:vertAlign w:val="baseline"/>
                <w:lang w:val="en-US" w:eastAsia="zh-CN"/>
              </w:rPr>
            </w:pPr>
            <w:r>
              <w:rPr>
                <w:rFonts w:hint="eastAsia"/>
                <w:sz w:val="18"/>
                <w:szCs w:val="21"/>
                <w:vertAlign w:val="baseline"/>
                <w:lang w:val="en-US" w:eastAsia="zh-CN"/>
              </w:rPr>
              <w:t>《安全生产违法行为行政处罚办法》第四十三条  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的罚款；逾期未改正的，责令生产经营单位停产停业整顿。</w:t>
            </w:r>
          </w:p>
          <w:p>
            <w:pPr>
              <w:numPr>
                <w:ilvl w:val="0"/>
                <w:numId w:val="0"/>
              </w:numPr>
              <w:ind w:firstLine="180" w:firstLineChars="100"/>
              <w:jc w:val="both"/>
              <w:rPr>
                <w:rFonts w:hint="eastAsia"/>
                <w:sz w:val="18"/>
                <w:szCs w:val="21"/>
                <w:vertAlign w:val="baseline"/>
                <w:lang w:val="en-US" w:eastAsia="zh-CN"/>
              </w:rPr>
            </w:pPr>
            <w:r>
              <w:rPr>
                <w:rFonts w:hint="eastAsia"/>
                <w:sz w:val="18"/>
                <w:szCs w:val="21"/>
                <w:vertAlign w:val="baseline"/>
                <w:lang w:val="en-US" w:eastAsia="zh-CN"/>
              </w:rPr>
              <w:t>......</w:t>
            </w:r>
          </w:p>
          <w:p>
            <w:pPr>
              <w:numPr>
                <w:ilvl w:val="0"/>
                <w:numId w:val="2"/>
              </w:numPr>
              <w:ind w:left="0" w:leftChars="0" w:firstLine="0" w:firstLineChars="0"/>
              <w:jc w:val="both"/>
              <w:rPr>
                <w:rFonts w:hint="eastAsia"/>
                <w:sz w:val="18"/>
                <w:szCs w:val="21"/>
                <w:vertAlign w:val="baseline"/>
                <w:lang w:val="en-US" w:eastAsia="zh-CN"/>
              </w:rPr>
            </w:pPr>
            <w:r>
              <w:rPr>
                <w:rFonts w:hint="eastAsia"/>
                <w:sz w:val="18"/>
                <w:szCs w:val="21"/>
                <w:vertAlign w:val="baseline"/>
                <w:lang w:val="en-US" w:eastAsia="zh-CN"/>
              </w:rPr>
              <w:t>用于配备劳动防护用品经费；</w:t>
            </w:r>
          </w:p>
          <w:p>
            <w:pPr>
              <w:numPr>
                <w:ilvl w:val="0"/>
                <w:numId w:val="0"/>
              </w:numPr>
              <w:ind w:leftChars="0" w:firstLine="180" w:firstLineChars="100"/>
              <w:jc w:val="both"/>
              <w:rPr>
                <w:rFonts w:hint="eastAsia"/>
                <w:sz w:val="18"/>
                <w:szCs w:val="21"/>
                <w:vertAlign w:val="baseline"/>
                <w:lang w:val="en-US" w:eastAsia="zh-CN"/>
              </w:rPr>
            </w:pPr>
            <w:r>
              <w:rPr>
                <w:rFonts w:hint="eastAsia"/>
                <w:sz w:val="18"/>
                <w:szCs w:val="21"/>
                <w:vertAlign w:val="baseline"/>
                <w:lang w:val="en-US" w:eastAsia="zh-CN"/>
              </w:rPr>
              <w:t>......</w:t>
            </w:r>
          </w:p>
          <w:p>
            <w:pPr>
              <w:numPr>
                <w:ilvl w:val="0"/>
                <w:numId w:val="0"/>
              </w:numPr>
              <w:ind w:leftChars="0" w:firstLine="360" w:firstLineChars="200"/>
              <w:jc w:val="both"/>
              <w:rPr>
                <w:rFonts w:hint="default"/>
                <w:sz w:val="18"/>
                <w:szCs w:val="21"/>
                <w:vertAlign w:val="baseline"/>
                <w:lang w:val="en-US" w:eastAsia="zh-CN"/>
              </w:rPr>
            </w:pPr>
            <w:r>
              <w:rPr>
                <w:rFonts w:hint="eastAsia"/>
                <w:sz w:val="18"/>
                <w:szCs w:val="21"/>
                <w:vertAlign w:val="baseline"/>
                <w:lang w:val="en-US" w:eastAsia="zh-CN"/>
              </w:rPr>
              <w:t>生产经营单位主要负责人、个人经营的投资人有前款违法行为，导致发生安全事故的，依照《生产安全事故罚款处罚规定（试行）》的规定给予处罚。</w:t>
            </w:r>
          </w:p>
        </w:tc>
        <w:tc>
          <w:tcPr>
            <w:tcW w:w="697" w:type="dxa"/>
            <w:vAlign w:val="center"/>
          </w:tcPr>
          <w:p>
            <w:pPr>
              <w:numPr>
                <w:ilvl w:val="0"/>
                <w:numId w:val="0"/>
              </w:numPr>
              <w:jc w:val="center"/>
              <w:rPr>
                <w:rFonts w:hint="default"/>
                <w:sz w:val="21"/>
                <w:szCs w:val="24"/>
                <w:vertAlign w:val="baseline"/>
                <w:lang w:val="en-US" w:eastAsia="zh-CN"/>
              </w:rPr>
            </w:pPr>
          </w:p>
        </w:tc>
        <w:tc>
          <w:tcPr>
            <w:tcW w:w="720" w:type="dxa"/>
            <w:vAlign w:val="center"/>
          </w:tcPr>
          <w:p>
            <w:pPr>
              <w:numPr>
                <w:ilvl w:val="0"/>
                <w:numId w:val="0"/>
              </w:numPr>
              <w:jc w:val="center"/>
              <w:rPr>
                <w:rFonts w:hint="default"/>
                <w:sz w:val="21"/>
                <w:szCs w:val="24"/>
                <w:vertAlign w:val="baseline"/>
                <w:lang w:val="en-US" w:eastAsia="zh-CN"/>
              </w:rPr>
            </w:pPr>
          </w:p>
        </w:tc>
        <w:tc>
          <w:tcPr>
            <w:tcW w:w="493" w:type="dxa"/>
            <w:vAlign w:val="center"/>
          </w:tcPr>
          <w:p>
            <w:pPr>
              <w:numPr>
                <w:ilvl w:val="0"/>
                <w:numId w:val="0"/>
              </w:numPr>
              <w:jc w:val="center"/>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2" w:hRule="atLeast"/>
        </w:trPr>
        <w:tc>
          <w:tcPr>
            <w:tcW w:w="441" w:type="dxa"/>
          </w:tcPr>
          <w:p>
            <w:pPr>
              <w:numPr>
                <w:ilvl w:val="0"/>
                <w:numId w:val="0"/>
              </w:numPr>
              <w:jc w:val="center"/>
              <w:rPr>
                <w:rFonts w:hint="default"/>
                <w:sz w:val="21"/>
                <w:szCs w:val="24"/>
                <w:vertAlign w:val="baseline"/>
                <w:lang w:val="en-US" w:eastAsia="zh-CN"/>
              </w:rPr>
            </w:pPr>
          </w:p>
        </w:tc>
        <w:tc>
          <w:tcPr>
            <w:tcW w:w="659" w:type="dxa"/>
            <w:vAlign w:val="center"/>
          </w:tcPr>
          <w:p>
            <w:pPr>
              <w:numPr>
                <w:ilvl w:val="0"/>
                <w:numId w:val="0"/>
              </w:numPr>
              <w:jc w:val="center"/>
              <w:rPr>
                <w:rFonts w:hint="default"/>
                <w:sz w:val="21"/>
                <w:szCs w:val="24"/>
                <w:vertAlign w:val="baseline"/>
                <w:lang w:val="en-US" w:eastAsia="zh-CN"/>
              </w:rPr>
            </w:pPr>
          </w:p>
        </w:tc>
        <w:tc>
          <w:tcPr>
            <w:tcW w:w="1138" w:type="dxa"/>
            <w:vAlign w:val="center"/>
          </w:tcPr>
          <w:p>
            <w:pPr>
              <w:numPr>
                <w:ilvl w:val="0"/>
                <w:numId w:val="0"/>
              </w:numPr>
              <w:jc w:val="left"/>
              <w:rPr>
                <w:rFonts w:hint="default"/>
                <w:sz w:val="18"/>
                <w:szCs w:val="21"/>
                <w:vertAlign w:val="baseline"/>
                <w:lang w:val="en-US" w:eastAsia="zh-CN"/>
              </w:rPr>
            </w:pPr>
            <w:r>
              <w:rPr>
                <w:rFonts w:hint="eastAsia"/>
                <w:sz w:val="18"/>
                <w:szCs w:val="21"/>
                <w:vertAlign w:val="baseline"/>
                <w:lang w:val="en-US" w:eastAsia="zh-CN"/>
              </w:rPr>
              <w:t>2.4安全生产教育和培训经费</w:t>
            </w:r>
          </w:p>
        </w:tc>
        <w:tc>
          <w:tcPr>
            <w:tcW w:w="4966" w:type="dxa"/>
            <w:vAlign w:val="center"/>
          </w:tcPr>
          <w:p>
            <w:pPr>
              <w:rPr>
                <w:rFonts w:hint="default"/>
                <w:lang w:val="en-US" w:eastAsia="zh-CN"/>
              </w:rPr>
            </w:pPr>
            <w:r>
              <w:rPr>
                <w:rFonts w:hint="eastAsia"/>
                <w:sz w:val="18"/>
                <w:szCs w:val="21"/>
                <w:vertAlign w:val="baseline"/>
                <w:lang w:val="en-US" w:eastAsia="zh-CN"/>
              </w:rPr>
              <w:t>《安全生产法》第四十四条  生产经营单位应当安排用于配备劳动防护用品、进行安全生产培训经费。</w:t>
            </w:r>
          </w:p>
        </w:tc>
        <w:tc>
          <w:tcPr>
            <w:tcW w:w="6286" w:type="dxa"/>
            <w:vAlign w:val="center"/>
          </w:tcPr>
          <w:p>
            <w:pPr>
              <w:numPr>
                <w:ilvl w:val="0"/>
                <w:numId w:val="0"/>
              </w:numPr>
              <w:ind w:firstLine="180" w:firstLineChars="100"/>
              <w:jc w:val="both"/>
              <w:rPr>
                <w:rFonts w:hint="eastAsia"/>
                <w:sz w:val="18"/>
                <w:szCs w:val="21"/>
                <w:vertAlign w:val="baseline"/>
                <w:lang w:val="en-US" w:eastAsia="zh-CN"/>
              </w:rPr>
            </w:pPr>
            <w:r>
              <w:rPr>
                <w:rFonts w:hint="eastAsia"/>
                <w:sz w:val="18"/>
                <w:szCs w:val="21"/>
                <w:vertAlign w:val="baseline"/>
                <w:lang w:val="en-US" w:eastAsia="zh-CN"/>
              </w:rPr>
              <w:t>《安全生产违法行为行政处罚办法》第四十三条  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的罚款；逾期未改正的，责令生产经营单位停产停业整顿。</w:t>
            </w:r>
          </w:p>
          <w:p>
            <w:pPr>
              <w:numPr>
                <w:ilvl w:val="0"/>
                <w:numId w:val="0"/>
              </w:numPr>
              <w:ind w:leftChars="0" w:firstLine="180" w:firstLineChars="100"/>
              <w:jc w:val="both"/>
              <w:rPr>
                <w:rFonts w:hint="eastAsia"/>
                <w:sz w:val="18"/>
                <w:szCs w:val="21"/>
                <w:vertAlign w:val="baseline"/>
                <w:lang w:val="en-US" w:eastAsia="zh-CN"/>
              </w:rPr>
            </w:pPr>
            <w:r>
              <w:rPr>
                <w:rFonts w:hint="eastAsia"/>
                <w:sz w:val="18"/>
                <w:szCs w:val="21"/>
                <w:vertAlign w:val="baseline"/>
                <w:lang w:val="en-US" w:eastAsia="zh-CN"/>
              </w:rPr>
              <w:t>......</w:t>
            </w:r>
          </w:p>
          <w:p>
            <w:pPr>
              <w:numPr>
                <w:ilvl w:val="0"/>
                <w:numId w:val="2"/>
              </w:numPr>
              <w:ind w:left="0" w:leftChars="0" w:firstLine="0" w:firstLineChars="0"/>
              <w:jc w:val="both"/>
              <w:rPr>
                <w:rFonts w:hint="eastAsia"/>
                <w:sz w:val="18"/>
                <w:szCs w:val="21"/>
                <w:vertAlign w:val="baseline"/>
                <w:lang w:val="en-US" w:eastAsia="zh-CN"/>
              </w:rPr>
            </w:pPr>
            <w:r>
              <w:rPr>
                <w:rFonts w:hint="eastAsia"/>
                <w:sz w:val="18"/>
                <w:szCs w:val="21"/>
                <w:vertAlign w:val="baseline"/>
                <w:lang w:val="en-US" w:eastAsia="zh-CN"/>
              </w:rPr>
              <w:t>用于安全生产教育和培训经费。</w:t>
            </w:r>
          </w:p>
          <w:p>
            <w:pPr>
              <w:numPr>
                <w:ilvl w:val="0"/>
                <w:numId w:val="0"/>
              </w:numPr>
              <w:ind w:leftChars="0" w:firstLine="180" w:firstLineChars="100"/>
              <w:jc w:val="both"/>
              <w:rPr>
                <w:rFonts w:hint="eastAsia"/>
                <w:sz w:val="18"/>
                <w:szCs w:val="21"/>
                <w:vertAlign w:val="baseline"/>
                <w:lang w:val="en-US" w:eastAsia="zh-CN"/>
              </w:rPr>
            </w:pPr>
            <w:r>
              <w:rPr>
                <w:rFonts w:hint="eastAsia"/>
                <w:sz w:val="18"/>
                <w:szCs w:val="21"/>
                <w:vertAlign w:val="baseline"/>
                <w:lang w:val="en-US" w:eastAsia="zh-CN"/>
              </w:rPr>
              <w:t>......</w:t>
            </w:r>
          </w:p>
          <w:p>
            <w:pPr>
              <w:numPr>
                <w:ilvl w:val="0"/>
                <w:numId w:val="0"/>
              </w:numPr>
              <w:ind w:leftChars="0" w:firstLine="360" w:firstLineChars="200"/>
              <w:jc w:val="both"/>
              <w:rPr>
                <w:rFonts w:hint="eastAsia"/>
                <w:sz w:val="18"/>
                <w:szCs w:val="21"/>
                <w:vertAlign w:val="baseline"/>
                <w:lang w:val="en-US" w:eastAsia="zh-CN"/>
              </w:rPr>
            </w:pPr>
            <w:r>
              <w:rPr>
                <w:rFonts w:hint="eastAsia"/>
                <w:sz w:val="18"/>
                <w:szCs w:val="21"/>
                <w:vertAlign w:val="baseline"/>
                <w:lang w:val="en-US" w:eastAsia="zh-CN"/>
              </w:rPr>
              <w:t>生产经营单位主要负责人、个人经营的投资人有前款违法行为，导致发生安全事故的，依照《生产安全事故罚款处罚规定（试行）》的规定给予处罚。</w:t>
            </w:r>
          </w:p>
          <w:p>
            <w:pPr>
              <w:numPr>
                <w:ilvl w:val="0"/>
                <w:numId w:val="0"/>
              </w:numPr>
              <w:ind w:leftChars="0"/>
              <w:jc w:val="both"/>
              <w:rPr>
                <w:rFonts w:hint="default"/>
                <w:sz w:val="18"/>
                <w:szCs w:val="21"/>
                <w:vertAlign w:val="baseline"/>
                <w:lang w:val="en-US" w:eastAsia="zh-CN"/>
              </w:rPr>
            </w:pPr>
          </w:p>
        </w:tc>
        <w:tc>
          <w:tcPr>
            <w:tcW w:w="697" w:type="dxa"/>
            <w:vAlign w:val="center"/>
          </w:tcPr>
          <w:p>
            <w:pPr>
              <w:numPr>
                <w:ilvl w:val="0"/>
                <w:numId w:val="0"/>
              </w:numPr>
              <w:jc w:val="center"/>
              <w:rPr>
                <w:rFonts w:hint="default"/>
                <w:sz w:val="21"/>
                <w:szCs w:val="24"/>
                <w:vertAlign w:val="baseline"/>
                <w:lang w:val="en-US" w:eastAsia="zh-CN"/>
              </w:rPr>
            </w:pPr>
          </w:p>
        </w:tc>
        <w:tc>
          <w:tcPr>
            <w:tcW w:w="720" w:type="dxa"/>
            <w:vAlign w:val="center"/>
          </w:tcPr>
          <w:p>
            <w:pPr>
              <w:numPr>
                <w:ilvl w:val="0"/>
                <w:numId w:val="0"/>
              </w:numPr>
              <w:jc w:val="center"/>
              <w:rPr>
                <w:rFonts w:hint="default"/>
                <w:sz w:val="21"/>
                <w:szCs w:val="24"/>
                <w:vertAlign w:val="baseline"/>
                <w:lang w:val="en-US" w:eastAsia="zh-CN"/>
              </w:rPr>
            </w:pPr>
          </w:p>
        </w:tc>
        <w:tc>
          <w:tcPr>
            <w:tcW w:w="493" w:type="dxa"/>
            <w:vAlign w:val="center"/>
          </w:tcPr>
          <w:p>
            <w:pPr>
              <w:numPr>
                <w:ilvl w:val="0"/>
                <w:numId w:val="0"/>
              </w:numPr>
              <w:jc w:val="center"/>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9" w:hRule="atLeast"/>
        </w:trPr>
        <w:tc>
          <w:tcPr>
            <w:tcW w:w="441" w:type="dxa"/>
            <w:vAlign w:val="center"/>
          </w:tcPr>
          <w:p>
            <w:pPr>
              <w:numPr>
                <w:ilvl w:val="0"/>
                <w:numId w:val="0"/>
              </w:numPr>
              <w:jc w:val="center"/>
              <w:rPr>
                <w:rFonts w:hint="default"/>
                <w:sz w:val="21"/>
                <w:szCs w:val="24"/>
                <w:vertAlign w:val="baseline"/>
                <w:lang w:val="en-US" w:eastAsia="zh-CN"/>
              </w:rPr>
            </w:pPr>
            <w:r>
              <w:rPr>
                <w:rFonts w:hint="eastAsia"/>
                <w:sz w:val="21"/>
                <w:szCs w:val="24"/>
                <w:vertAlign w:val="baseline"/>
                <w:lang w:val="en-US" w:eastAsia="zh-CN"/>
              </w:rPr>
              <w:t>3</w:t>
            </w:r>
          </w:p>
        </w:tc>
        <w:tc>
          <w:tcPr>
            <w:tcW w:w="659" w:type="dxa"/>
            <w:vAlign w:val="center"/>
          </w:tcPr>
          <w:p>
            <w:pPr>
              <w:numPr>
                <w:ilvl w:val="0"/>
                <w:numId w:val="0"/>
              </w:numPr>
              <w:jc w:val="center"/>
              <w:rPr>
                <w:rFonts w:hint="default"/>
                <w:sz w:val="21"/>
                <w:szCs w:val="24"/>
                <w:vertAlign w:val="baseline"/>
                <w:lang w:val="en-US" w:eastAsia="zh-CN"/>
              </w:rPr>
            </w:pPr>
            <w:r>
              <w:rPr>
                <w:rFonts w:hint="eastAsia"/>
                <w:sz w:val="18"/>
                <w:szCs w:val="21"/>
                <w:vertAlign w:val="baseline"/>
                <w:lang w:val="en-US" w:eastAsia="zh-CN"/>
              </w:rPr>
              <w:t>安全生产管理机构人员设置配备情况</w:t>
            </w:r>
          </w:p>
        </w:tc>
        <w:tc>
          <w:tcPr>
            <w:tcW w:w="1138" w:type="dxa"/>
            <w:vAlign w:val="center"/>
          </w:tcPr>
          <w:p>
            <w:pPr>
              <w:numPr>
                <w:ilvl w:val="0"/>
                <w:numId w:val="0"/>
              </w:numPr>
              <w:jc w:val="left"/>
              <w:rPr>
                <w:rFonts w:hint="eastAsia"/>
                <w:sz w:val="18"/>
                <w:szCs w:val="21"/>
                <w:vertAlign w:val="baseline"/>
                <w:lang w:val="en-US" w:eastAsia="zh-CN"/>
              </w:rPr>
            </w:pPr>
            <w:r>
              <w:rPr>
                <w:rFonts w:hint="eastAsia"/>
                <w:sz w:val="18"/>
                <w:szCs w:val="21"/>
                <w:vertAlign w:val="baseline"/>
                <w:lang w:val="en-US" w:eastAsia="zh-CN"/>
              </w:rPr>
              <w:t>高危行业生产经营单位设置机构、配备专职人员；其他生产经营单位设置配备机构、配备专职人员</w:t>
            </w:r>
          </w:p>
        </w:tc>
        <w:tc>
          <w:tcPr>
            <w:tcW w:w="4966" w:type="dxa"/>
            <w:vAlign w:val="center"/>
          </w:tcPr>
          <w:p>
            <w:p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《安全生产法》第二十四条  矿山、金属冶炼、建筑施工、运输单位和危险物品的生产、经营、储存、装卸单位，应当设置安全生产管理机构或者配备专职安全生产管理人员。</w:t>
            </w:r>
          </w:p>
          <w:p>
            <w:pPr>
              <w:ind w:firstLine="360" w:firstLineChars="200"/>
              <w:rPr>
                <w:rFonts w:hint="default"/>
                <w:sz w:val="18"/>
                <w:szCs w:val="21"/>
                <w:vertAlign w:val="baseline"/>
                <w:lang w:val="en-US" w:eastAsia="zh-CN"/>
              </w:rPr>
            </w:pPr>
            <w:r>
              <w:rPr>
                <w:rFonts w:hint="eastAsia"/>
                <w:sz w:val="18"/>
                <w:szCs w:val="21"/>
                <w:vertAlign w:val="baseline"/>
                <w:lang w:val="en-US" w:eastAsia="zh-CN"/>
              </w:rPr>
              <w:t>前款规定以外的其他生产经营单位，从业人员超过一百人的，应当设置安全生产管理机构或者配备专职安全生产管理人员；从业人员在一百人以下的，应当配备专职或者兼职的安全生产管理人员。</w:t>
            </w:r>
          </w:p>
        </w:tc>
        <w:tc>
          <w:tcPr>
            <w:tcW w:w="6286" w:type="dxa"/>
            <w:vAlign w:val="center"/>
          </w:tcPr>
          <w:p>
            <w:pPr>
              <w:ind w:firstLine="360" w:firstLineChars="200"/>
              <w:rPr>
                <w:rFonts w:hint="default"/>
                <w:sz w:val="18"/>
                <w:szCs w:val="21"/>
                <w:vertAlign w:val="baseline"/>
                <w:lang w:val="en-US" w:eastAsia="zh-CN"/>
              </w:rPr>
            </w:pPr>
            <w:r>
              <w:rPr>
                <w:rFonts w:hint="eastAsia"/>
                <w:sz w:val="18"/>
                <w:szCs w:val="21"/>
                <w:vertAlign w:val="baseline"/>
                <w:lang w:val="en-US" w:eastAsia="zh-CN"/>
              </w:rPr>
              <w:t>《安全生产法》第九十七条  生产经营单位有下列行为之一的，责令限期改正，处十万以下的罚款；逾期未改正的，责令停产停业整顿，并出十万以上二十万以下的罚款，对其直接负责的主管人员和其他直接责任人员处二万以上五万以下的罚款；</w:t>
            </w:r>
          </w:p>
          <w:p>
            <w:pPr>
              <w:numPr>
                <w:ilvl w:val="0"/>
                <w:numId w:val="0"/>
              </w:numPr>
              <w:rPr>
                <w:rFonts w:hint="eastAsia"/>
                <w:sz w:val="18"/>
                <w:szCs w:val="21"/>
                <w:vertAlign w:val="baseline"/>
                <w:lang w:val="en-US" w:eastAsia="zh-CN"/>
              </w:rPr>
            </w:pPr>
            <w:r>
              <w:rPr>
                <w:rFonts w:hint="eastAsia"/>
                <w:sz w:val="18"/>
                <w:szCs w:val="21"/>
                <w:vertAlign w:val="baseline"/>
                <w:lang w:val="en-US" w:eastAsia="zh-CN"/>
              </w:rPr>
              <w:t xml:space="preserve">    （一）未安照规定设置安全生产管理机构或者配备安全生产管理人员、注册安全工程师的；</w:t>
            </w:r>
          </w:p>
          <w:p>
            <w:pPr>
              <w:numPr>
                <w:ilvl w:val="0"/>
                <w:numId w:val="0"/>
              </w:numPr>
              <w:ind w:firstLine="180" w:firstLineChars="100"/>
              <w:rPr>
                <w:rFonts w:hint="default"/>
                <w:sz w:val="18"/>
                <w:szCs w:val="21"/>
                <w:vertAlign w:val="baseline"/>
                <w:lang w:val="en-US" w:eastAsia="zh-CN"/>
              </w:rPr>
            </w:pPr>
            <w:r>
              <w:rPr>
                <w:rFonts w:hint="eastAsia"/>
                <w:sz w:val="18"/>
                <w:szCs w:val="21"/>
                <w:vertAlign w:val="baseline"/>
                <w:lang w:val="en-US" w:eastAsia="zh-CN"/>
              </w:rPr>
              <w:t>......</w:t>
            </w:r>
          </w:p>
        </w:tc>
        <w:tc>
          <w:tcPr>
            <w:tcW w:w="697" w:type="dxa"/>
            <w:vAlign w:val="center"/>
          </w:tcPr>
          <w:p>
            <w:pPr>
              <w:numPr>
                <w:ilvl w:val="0"/>
                <w:numId w:val="0"/>
              </w:numPr>
              <w:jc w:val="center"/>
              <w:rPr>
                <w:rFonts w:hint="default"/>
                <w:sz w:val="21"/>
                <w:szCs w:val="24"/>
                <w:vertAlign w:val="baseline"/>
                <w:lang w:val="en-US" w:eastAsia="zh-CN"/>
              </w:rPr>
            </w:pPr>
          </w:p>
        </w:tc>
        <w:tc>
          <w:tcPr>
            <w:tcW w:w="720" w:type="dxa"/>
            <w:vAlign w:val="center"/>
          </w:tcPr>
          <w:p>
            <w:pPr>
              <w:numPr>
                <w:ilvl w:val="0"/>
                <w:numId w:val="0"/>
              </w:numPr>
              <w:jc w:val="center"/>
              <w:rPr>
                <w:rFonts w:hint="default"/>
                <w:sz w:val="21"/>
                <w:szCs w:val="24"/>
                <w:vertAlign w:val="baseline"/>
                <w:lang w:val="en-US" w:eastAsia="zh-CN"/>
              </w:rPr>
            </w:pPr>
          </w:p>
        </w:tc>
        <w:tc>
          <w:tcPr>
            <w:tcW w:w="493" w:type="dxa"/>
            <w:vAlign w:val="center"/>
          </w:tcPr>
          <w:p>
            <w:pPr>
              <w:numPr>
                <w:ilvl w:val="0"/>
                <w:numId w:val="0"/>
              </w:numPr>
              <w:jc w:val="center"/>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trPr>
        <w:tc>
          <w:tcPr>
            <w:tcW w:w="441" w:type="dxa"/>
            <w:vMerge w:val="restart"/>
            <w:vAlign w:val="center"/>
          </w:tcPr>
          <w:p>
            <w:pPr>
              <w:numPr>
                <w:ilvl w:val="0"/>
                <w:numId w:val="0"/>
              </w:numPr>
              <w:jc w:val="center"/>
              <w:rPr>
                <w:rFonts w:hint="default"/>
                <w:sz w:val="21"/>
                <w:szCs w:val="24"/>
                <w:vertAlign w:val="baseline"/>
                <w:lang w:val="en-US" w:eastAsia="zh-CN"/>
              </w:rPr>
            </w:pPr>
            <w:r>
              <w:rPr>
                <w:rFonts w:hint="eastAsia"/>
                <w:sz w:val="21"/>
                <w:szCs w:val="24"/>
                <w:vertAlign w:val="baseline"/>
                <w:lang w:val="en-US" w:eastAsia="zh-CN"/>
              </w:rPr>
              <w:t>4</w:t>
            </w:r>
          </w:p>
        </w:tc>
        <w:tc>
          <w:tcPr>
            <w:tcW w:w="659" w:type="dxa"/>
            <w:vMerge w:val="restart"/>
            <w:vAlign w:val="center"/>
          </w:tcPr>
          <w:p>
            <w:pPr>
              <w:numPr>
                <w:ilvl w:val="0"/>
                <w:numId w:val="0"/>
              </w:numPr>
              <w:jc w:val="center"/>
              <w:rPr>
                <w:rFonts w:hint="eastAsia"/>
                <w:sz w:val="18"/>
                <w:szCs w:val="21"/>
                <w:vertAlign w:val="baseline"/>
                <w:lang w:val="en-US" w:eastAsia="zh-CN"/>
              </w:rPr>
            </w:pPr>
            <w:r>
              <w:rPr>
                <w:rFonts w:hint="eastAsia"/>
                <w:sz w:val="18"/>
                <w:szCs w:val="21"/>
                <w:vertAlign w:val="baseline"/>
                <w:lang w:val="en-US" w:eastAsia="zh-CN"/>
              </w:rPr>
              <w:t>从业人员安全生产教育和培训情况</w:t>
            </w:r>
          </w:p>
        </w:tc>
        <w:tc>
          <w:tcPr>
            <w:tcW w:w="1138" w:type="dxa"/>
            <w:vAlign w:val="center"/>
          </w:tcPr>
          <w:p>
            <w:pPr>
              <w:numPr>
                <w:ilvl w:val="0"/>
                <w:numId w:val="0"/>
              </w:numPr>
              <w:jc w:val="left"/>
              <w:rPr>
                <w:rFonts w:hint="default"/>
                <w:sz w:val="18"/>
                <w:szCs w:val="21"/>
                <w:vertAlign w:val="baseline"/>
                <w:lang w:val="en-US" w:eastAsia="zh-CN"/>
              </w:rPr>
            </w:pPr>
            <w:r>
              <w:rPr>
                <w:rFonts w:hint="eastAsia"/>
                <w:sz w:val="18"/>
                <w:szCs w:val="21"/>
                <w:vertAlign w:val="baseline"/>
                <w:lang w:val="en-US" w:eastAsia="zh-CN"/>
              </w:rPr>
              <w:t>4.1主要负责人和安全管理人员安全知识和管理能力及考核</w:t>
            </w:r>
          </w:p>
        </w:tc>
        <w:tc>
          <w:tcPr>
            <w:tcW w:w="4966" w:type="dxa"/>
            <w:vAlign w:val="center"/>
          </w:tcPr>
          <w:p>
            <w:p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《安全生产法》第二十七条  生产经营单位的主要负责人和安全生产管理人员必须具备与本单位所从事的生产经营活动相应的安全生产知识和管理能力。</w:t>
            </w:r>
          </w:p>
          <w:p>
            <w:pPr>
              <w:ind w:firstLine="360" w:firstLineChars="200"/>
              <w:rPr>
                <w:rFonts w:hint="eastAsia"/>
                <w:sz w:val="18"/>
                <w:szCs w:val="21"/>
                <w:vertAlign w:val="baseline"/>
                <w:lang w:val="en-US" w:eastAsia="zh-CN"/>
              </w:rPr>
            </w:pPr>
            <w:r>
              <w:rPr>
                <w:rFonts w:hint="eastAsia"/>
                <w:sz w:val="18"/>
                <w:szCs w:val="21"/>
                <w:vertAlign w:val="baseline"/>
                <w:lang w:val="en-US" w:eastAsia="zh-CN"/>
              </w:rPr>
              <w:t>危险物品的生产、经营、储存、装卸单位及矿山、金属冶炼、建筑施工、运输单位的主要负责人和安全生产管理人员，应当由主管的负有安全生产监督管理职责的部门对其安全生产知识和管理能力考核合格。考核不得收费。</w:t>
            </w:r>
          </w:p>
          <w:p>
            <w:pPr>
              <w:ind w:firstLine="360" w:firstLineChars="200"/>
              <w:rPr>
                <w:rFonts w:hint="default"/>
                <w:sz w:val="18"/>
                <w:szCs w:val="21"/>
                <w:vertAlign w:val="baseline"/>
                <w:lang w:val="en-US" w:eastAsia="zh-CN"/>
              </w:rPr>
            </w:pPr>
            <w:r>
              <w:rPr>
                <w:rFonts w:hint="eastAsia"/>
                <w:sz w:val="18"/>
                <w:szCs w:val="21"/>
                <w:vertAlign w:val="baseline"/>
                <w:lang w:val="en-US" w:eastAsia="zh-CN"/>
              </w:rPr>
              <w:t>......</w:t>
            </w:r>
          </w:p>
        </w:tc>
        <w:tc>
          <w:tcPr>
            <w:tcW w:w="6286" w:type="dxa"/>
            <w:vAlign w:val="center"/>
          </w:tcPr>
          <w:p>
            <w:pPr>
              <w:numPr>
                <w:ilvl w:val="0"/>
                <w:numId w:val="0"/>
              </w:num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《安全生产法》第九十七条  生产经营单位有下列行为之一的，责令限期改正，处十万以下的罚款；逾期未改正的，责令停产停业整顿，并出十万元以上二十万元以下的罚款，对其直接负责的主管人员和其他直接责任人员处二万元以上五万元以下的罚款：</w:t>
            </w:r>
          </w:p>
          <w:p>
            <w:pPr>
              <w:numPr>
                <w:ilvl w:val="0"/>
                <w:numId w:val="0"/>
              </w:numPr>
              <w:ind w:firstLine="180" w:firstLineChars="100"/>
              <w:rPr>
                <w:rFonts w:hint="eastAsia"/>
                <w:sz w:val="18"/>
                <w:szCs w:val="21"/>
                <w:vertAlign w:val="baseline"/>
                <w:lang w:val="en-US" w:eastAsia="zh-CN"/>
              </w:rPr>
            </w:pPr>
            <w:r>
              <w:rPr>
                <w:rFonts w:hint="eastAsia"/>
                <w:sz w:val="18"/>
                <w:szCs w:val="21"/>
                <w:vertAlign w:val="baseline"/>
                <w:lang w:val="en-US" w:eastAsia="zh-CN"/>
              </w:rPr>
              <w:t>......</w:t>
            </w:r>
          </w:p>
          <w:p>
            <w:pPr>
              <w:numPr>
                <w:ilvl w:val="0"/>
                <w:numId w:val="0"/>
              </w:numPr>
              <w:ind w:firstLine="360" w:firstLineChars="200"/>
              <w:rPr>
                <w:rFonts w:hint="default"/>
                <w:sz w:val="18"/>
                <w:szCs w:val="21"/>
                <w:vertAlign w:val="baseline"/>
                <w:lang w:val="en-US" w:eastAsia="zh-CN"/>
              </w:rPr>
            </w:pPr>
            <w:r>
              <w:rPr>
                <w:rFonts w:hint="eastAsia"/>
                <w:sz w:val="18"/>
                <w:szCs w:val="21"/>
                <w:vertAlign w:val="baseline"/>
                <w:lang w:val="en-US" w:eastAsia="zh-CN"/>
              </w:rPr>
              <w:t>（二）危险物品的生产、经营、储存、装卸单位以及矿山、金属冶炼、建筑施工、运输单位的主要负责人和安全生产管理人员未按照规定经考核合格的；</w:t>
            </w:r>
          </w:p>
        </w:tc>
        <w:tc>
          <w:tcPr>
            <w:tcW w:w="697" w:type="dxa"/>
            <w:vAlign w:val="center"/>
          </w:tcPr>
          <w:p>
            <w:pPr>
              <w:numPr>
                <w:ilvl w:val="0"/>
                <w:numId w:val="0"/>
              </w:numPr>
              <w:jc w:val="center"/>
              <w:rPr>
                <w:rFonts w:hint="default"/>
                <w:sz w:val="21"/>
                <w:szCs w:val="24"/>
                <w:vertAlign w:val="baseline"/>
                <w:lang w:val="en-US" w:eastAsia="zh-CN"/>
              </w:rPr>
            </w:pPr>
          </w:p>
        </w:tc>
        <w:tc>
          <w:tcPr>
            <w:tcW w:w="720" w:type="dxa"/>
            <w:vAlign w:val="center"/>
          </w:tcPr>
          <w:p>
            <w:pPr>
              <w:numPr>
                <w:ilvl w:val="0"/>
                <w:numId w:val="0"/>
              </w:numPr>
              <w:jc w:val="center"/>
              <w:rPr>
                <w:rFonts w:hint="default"/>
                <w:sz w:val="21"/>
                <w:szCs w:val="24"/>
                <w:vertAlign w:val="baseline"/>
                <w:lang w:val="en-US" w:eastAsia="zh-CN"/>
              </w:rPr>
            </w:pPr>
          </w:p>
        </w:tc>
        <w:tc>
          <w:tcPr>
            <w:tcW w:w="493" w:type="dxa"/>
            <w:vAlign w:val="center"/>
          </w:tcPr>
          <w:p>
            <w:pPr>
              <w:numPr>
                <w:ilvl w:val="0"/>
                <w:numId w:val="0"/>
              </w:numPr>
              <w:jc w:val="center"/>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2" w:hRule="atLeast"/>
        </w:trPr>
        <w:tc>
          <w:tcPr>
            <w:tcW w:w="441" w:type="dxa"/>
            <w:vMerge w:val="continue"/>
            <w:vAlign w:val="center"/>
          </w:tcPr>
          <w:p>
            <w:pPr>
              <w:numPr>
                <w:ilvl w:val="0"/>
                <w:numId w:val="0"/>
              </w:numPr>
              <w:jc w:val="center"/>
              <w:rPr>
                <w:rFonts w:hint="eastAsia"/>
                <w:sz w:val="21"/>
                <w:szCs w:val="24"/>
                <w:vertAlign w:val="baseline"/>
                <w:lang w:val="en-US" w:eastAsia="zh-CN"/>
              </w:rPr>
            </w:pPr>
          </w:p>
        </w:tc>
        <w:tc>
          <w:tcPr>
            <w:tcW w:w="659" w:type="dxa"/>
            <w:vMerge w:val="continue"/>
            <w:vAlign w:val="center"/>
          </w:tcPr>
          <w:p>
            <w:pPr>
              <w:numPr>
                <w:ilvl w:val="0"/>
                <w:numId w:val="0"/>
              </w:numPr>
              <w:jc w:val="center"/>
              <w:rPr>
                <w:rFonts w:hint="eastAsia"/>
                <w:sz w:val="18"/>
                <w:szCs w:val="21"/>
                <w:vertAlign w:val="baseline"/>
                <w:lang w:val="en-US" w:eastAsia="zh-CN"/>
              </w:rPr>
            </w:pPr>
          </w:p>
        </w:tc>
        <w:tc>
          <w:tcPr>
            <w:tcW w:w="1138" w:type="dxa"/>
            <w:vAlign w:val="center"/>
          </w:tcPr>
          <w:p>
            <w:pPr>
              <w:numPr>
                <w:ilvl w:val="0"/>
                <w:numId w:val="0"/>
              </w:numPr>
              <w:jc w:val="left"/>
              <w:rPr>
                <w:rFonts w:hint="default"/>
                <w:sz w:val="18"/>
                <w:szCs w:val="21"/>
                <w:vertAlign w:val="baseline"/>
                <w:lang w:val="en-US" w:eastAsia="zh-CN"/>
              </w:rPr>
            </w:pPr>
            <w:r>
              <w:rPr>
                <w:rFonts w:hint="eastAsia"/>
                <w:sz w:val="18"/>
                <w:szCs w:val="21"/>
                <w:vertAlign w:val="baseline"/>
                <w:lang w:val="en-US" w:eastAsia="zh-CN"/>
              </w:rPr>
              <w:t>4.2从业人员安全生产教育培训</w:t>
            </w:r>
          </w:p>
        </w:tc>
        <w:tc>
          <w:tcPr>
            <w:tcW w:w="4966" w:type="dxa"/>
            <w:vAlign w:val="center"/>
          </w:tcPr>
          <w:p>
            <w:p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《安全生产法》第二十八条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ind w:firstLine="360" w:firstLineChars="200"/>
              <w:rPr>
                <w:rFonts w:hint="eastAsia"/>
                <w:sz w:val="18"/>
                <w:szCs w:val="21"/>
                <w:vertAlign w:val="baseline"/>
                <w:lang w:val="en-US" w:eastAsia="zh-CN"/>
              </w:rPr>
            </w:pPr>
            <w:r>
              <w:rPr>
                <w:rFonts w:hint="eastAsia"/>
                <w:sz w:val="18"/>
                <w:szCs w:val="21"/>
                <w:vertAlign w:val="baseline"/>
                <w:lang w:val="en-US" w:eastAsia="zh-CN"/>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ind w:firstLine="360" w:firstLineChars="200"/>
              <w:rPr>
                <w:rFonts w:hint="default"/>
                <w:sz w:val="18"/>
                <w:szCs w:val="21"/>
                <w:vertAlign w:val="baseline"/>
                <w:lang w:val="en-US" w:eastAsia="zh-CN"/>
              </w:rPr>
            </w:pPr>
            <w:r>
              <w:rPr>
                <w:rFonts w:hint="eastAsia"/>
                <w:sz w:val="18"/>
                <w:szCs w:val="21"/>
                <w:vertAlign w:val="baseline"/>
                <w:lang w:val="en-US" w:eastAsia="zh-CN"/>
              </w:rPr>
              <w:t>生产经营单位应当建立安全生产教育和培训档案，如实记录安全生产教育和培训时间、内容、参加人员以及考核结果等情况。</w:t>
            </w:r>
          </w:p>
        </w:tc>
        <w:tc>
          <w:tcPr>
            <w:tcW w:w="6286" w:type="dxa"/>
            <w:vAlign w:val="center"/>
          </w:tcPr>
          <w:p>
            <w:pPr>
              <w:numPr>
                <w:ilvl w:val="0"/>
                <w:numId w:val="0"/>
              </w:num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《安全生产法》第九十七条  生产经营单位有下列行为之一的，责令限期改正，处十万以下的罚款；逾期未改正的，责令停产停业整顿，并出十万元以上二十万元以下的罚款，对其直接负责的主管人员和其他直接责任人员处二万元以上五万元以下的罚款：</w:t>
            </w:r>
          </w:p>
          <w:p>
            <w:pPr>
              <w:numPr>
                <w:ilvl w:val="0"/>
                <w:numId w:val="0"/>
              </w:numPr>
              <w:ind w:firstLine="180" w:firstLineChars="100"/>
              <w:rPr>
                <w:rFonts w:hint="eastAsia"/>
                <w:sz w:val="18"/>
                <w:szCs w:val="21"/>
                <w:vertAlign w:val="baseline"/>
                <w:lang w:val="en-US" w:eastAsia="zh-CN"/>
              </w:rPr>
            </w:pPr>
            <w:r>
              <w:rPr>
                <w:rFonts w:hint="eastAsia"/>
                <w:sz w:val="18"/>
                <w:szCs w:val="21"/>
                <w:vertAlign w:val="baseline"/>
                <w:lang w:val="en-US" w:eastAsia="zh-CN"/>
              </w:rPr>
              <w:t>......</w:t>
            </w:r>
          </w:p>
          <w:p>
            <w:pPr>
              <w:numPr>
                <w:ilvl w:val="0"/>
                <w:numId w:val="0"/>
              </w:numPr>
              <w:ind w:leftChars="0" w:firstLine="360" w:firstLineChars="200"/>
              <w:rPr>
                <w:rFonts w:hint="eastAsia"/>
                <w:sz w:val="18"/>
                <w:szCs w:val="21"/>
                <w:vertAlign w:val="baseline"/>
                <w:lang w:val="en-US" w:eastAsia="zh-CN"/>
              </w:rPr>
            </w:pPr>
            <w:r>
              <w:rPr>
                <w:rFonts w:hint="eastAsia"/>
                <w:sz w:val="18"/>
                <w:szCs w:val="21"/>
                <w:vertAlign w:val="baseline"/>
                <w:lang w:val="en-US" w:eastAsia="zh-CN"/>
              </w:rPr>
              <w:t>（三）未按照规定对从业人员、被派遣劳动者、实习学生进行安全生产教育和培训，或者未按照规定如实告知有关的安全生产事项的；</w:t>
            </w:r>
          </w:p>
          <w:p>
            <w:pPr>
              <w:numPr>
                <w:ilvl w:val="0"/>
                <w:numId w:val="0"/>
              </w:numPr>
              <w:ind w:leftChars="0" w:firstLine="360" w:firstLineChars="200"/>
              <w:rPr>
                <w:rFonts w:hint="eastAsia"/>
                <w:sz w:val="18"/>
                <w:szCs w:val="21"/>
                <w:vertAlign w:val="baseline"/>
                <w:lang w:val="en-US" w:eastAsia="zh-CN"/>
              </w:rPr>
            </w:pPr>
            <w:r>
              <w:rPr>
                <w:rFonts w:hint="eastAsia"/>
                <w:sz w:val="18"/>
                <w:szCs w:val="21"/>
                <w:vertAlign w:val="baseline"/>
                <w:lang w:val="en-US" w:eastAsia="zh-CN"/>
              </w:rPr>
              <w:t>（四）未如实记录安全生产教育和培训情况的；</w:t>
            </w:r>
          </w:p>
          <w:p>
            <w:pPr>
              <w:numPr>
                <w:ilvl w:val="0"/>
                <w:numId w:val="0"/>
              </w:numPr>
              <w:ind w:leftChars="0" w:firstLine="180" w:firstLineChars="100"/>
              <w:rPr>
                <w:rFonts w:hint="default"/>
                <w:sz w:val="18"/>
                <w:szCs w:val="21"/>
                <w:vertAlign w:val="baseline"/>
                <w:lang w:val="en-US" w:eastAsia="zh-CN"/>
              </w:rPr>
            </w:pPr>
            <w:r>
              <w:rPr>
                <w:rFonts w:hint="eastAsia"/>
                <w:sz w:val="18"/>
                <w:szCs w:val="21"/>
                <w:vertAlign w:val="baseline"/>
                <w:lang w:val="en-US" w:eastAsia="zh-CN"/>
              </w:rPr>
              <w:t>......</w:t>
            </w:r>
          </w:p>
        </w:tc>
        <w:tc>
          <w:tcPr>
            <w:tcW w:w="697" w:type="dxa"/>
            <w:vAlign w:val="center"/>
          </w:tcPr>
          <w:p>
            <w:pPr>
              <w:numPr>
                <w:ilvl w:val="0"/>
                <w:numId w:val="0"/>
              </w:numPr>
              <w:jc w:val="center"/>
              <w:rPr>
                <w:rFonts w:hint="default"/>
                <w:sz w:val="21"/>
                <w:szCs w:val="24"/>
                <w:vertAlign w:val="baseline"/>
                <w:lang w:val="en-US" w:eastAsia="zh-CN"/>
              </w:rPr>
            </w:pPr>
          </w:p>
        </w:tc>
        <w:tc>
          <w:tcPr>
            <w:tcW w:w="720" w:type="dxa"/>
            <w:vAlign w:val="center"/>
          </w:tcPr>
          <w:p>
            <w:pPr>
              <w:numPr>
                <w:ilvl w:val="0"/>
                <w:numId w:val="0"/>
              </w:numPr>
              <w:jc w:val="center"/>
              <w:rPr>
                <w:rFonts w:hint="default"/>
                <w:sz w:val="21"/>
                <w:szCs w:val="24"/>
                <w:vertAlign w:val="baseline"/>
                <w:lang w:val="en-US" w:eastAsia="zh-CN"/>
              </w:rPr>
            </w:pPr>
          </w:p>
        </w:tc>
        <w:tc>
          <w:tcPr>
            <w:tcW w:w="493" w:type="dxa"/>
            <w:vAlign w:val="center"/>
          </w:tcPr>
          <w:p>
            <w:pPr>
              <w:numPr>
                <w:ilvl w:val="0"/>
                <w:numId w:val="0"/>
              </w:numPr>
              <w:jc w:val="center"/>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trPr>
        <w:tc>
          <w:tcPr>
            <w:tcW w:w="441" w:type="dxa"/>
            <w:vMerge w:val="continue"/>
            <w:vAlign w:val="center"/>
          </w:tcPr>
          <w:p>
            <w:pPr>
              <w:numPr>
                <w:ilvl w:val="0"/>
                <w:numId w:val="0"/>
              </w:numPr>
              <w:jc w:val="center"/>
              <w:rPr>
                <w:rFonts w:hint="eastAsia"/>
                <w:sz w:val="21"/>
                <w:szCs w:val="24"/>
                <w:vertAlign w:val="baseline"/>
                <w:lang w:val="en-US" w:eastAsia="zh-CN"/>
              </w:rPr>
            </w:pPr>
          </w:p>
        </w:tc>
        <w:tc>
          <w:tcPr>
            <w:tcW w:w="659" w:type="dxa"/>
            <w:vMerge w:val="continue"/>
            <w:vAlign w:val="center"/>
          </w:tcPr>
          <w:p>
            <w:pPr>
              <w:numPr>
                <w:ilvl w:val="0"/>
                <w:numId w:val="0"/>
              </w:numPr>
              <w:jc w:val="center"/>
              <w:rPr>
                <w:rFonts w:hint="eastAsia"/>
                <w:sz w:val="18"/>
                <w:szCs w:val="21"/>
                <w:vertAlign w:val="baseline"/>
                <w:lang w:val="en-US" w:eastAsia="zh-CN"/>
              </w:rPr>
            </w:pPr>
          </w:p>
        </w:tc>
        <w:tc>
          <w:tcPr>
            <w:tcW w:w="1138" w:type="dxa"/>
            <w:vAlign w:val="center"/>
          </w:tcPr>
          <w:p>
            <w:pPr>
              <w:numPr>
                <w:ilvl w:val="0"/>
                <w:numId w:val="0"/>
              </w:numPr>
              <w:jc w:val="left"/>
              <w:rPr>
                <w:rFonts w:hint="default"/>
                <w:sz w:val="18"/>
                <w:szCs w:val="21"/>
                <w:vertAlign w:val="baseline"/>
                <w:lang w:val="en-US" w:eastAsia="zh-CN"/>
              </w:rPr>
            </w:pPr>
            <w:r>
              <w:rPr>
                <w:rFonts w:hint="eastAsia"/>
                <w:sz w:val="18"/>
                <w:szCs w:val="21"/>
                <w:vertAlign w:val="baseline"/>
                <w:lang w:val="en-US" w:eastAsia="zh-CN"/>
              </w:rPr>
              <w:t>4.3从业人员“四新”培训</w:t>
            </w:r>
          </w:p>
        </w:tc>
        <w:tc>
          <w:tcPr>
            <w:tcW w:w="4966" w:type="dxa"/>
            <w:vAlign w:val="center"/>
          </w:tcPr>
          <w:p>
            <w:pPr>
              <w:ind w:firstLine="360" w:firstLineChars="200"/>
              <w:rPr>
                <w:rFonts w:hint="default"/>
                <w:sz w:val="18"/>
                <w:szCs w:val="21"/>
                <w:vertAlign w:val="baseline"/>
                <w:lang w:val="en-US" w:eastAsia="zh-CN"/>
              </w:rPr>
            </w:pPr>
            <w:r>
              <w:rPr>
                <w:rFonts w:hint="eastAsia"/>
                <w:sz w:val="18"/>
                <w:szCs w:val="21"/>
                <w:vertAlign w:val="baseline"/>
                <w:lang w:val="en-US" w:eastAsia="zh-CN"/>
              </w:rPr>
              <w:t>《安全生产法》第二十九条  生产经营单位采用新工艺、新技术、新材料或者使用新设备，必须了解、掌握其安全技术特性，采取有效的安全防护措施，并对从业人员进行专门的安全生产教育和培训。</w:t>
            </w:r>
          </w:p>
        </w:tc>
        <w:tc>
          <w:tcPr>
            <w:tcW w:w="6286" w:type="dxa"/>
            <w:vAlign w:val="center"/>
          </w:tcPr>
          <w:p>
            <w:pPr>
              <w:numPr>
                <w:ilvl w:val="0"/>
                <w:numId w:val="0"/>
              </w:num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《安全生产法》第九十七条  生产经营单位有下列行为之一的，责令限期改正，处十万以下的罚款；逾期未改正的，责令停产停业整顿，并出十万元以上二十万元以下的罚款，对其直接负责的主管人员和其他直接责任人员处二万元以上五万元以下的罚款：</w:t>
            </w:r>
          </w:p>
          <w:p>
            <w:pPr>
              <w:numPr>
                <w:ilvl w:val="0"/>
                <w:numId w:val="0"/>
              </w:numPr>
              <w:ind w:firstLine="180" w:firstLineChars="100"/>
              <w:rPr>
                <w:rFonts w:hint="eastAsia"/>
                <w:sz w:val="18"/>
                <w:szCs w:val="21"/>
                <w:vertAlign w:val="baseline"/>
                <w:lang w:val="en-US" w:eastAsia="zh-CN"/>
              </w:rPr>
            </w:pPr>
            <w:r>
              <w:rPr>
                <w:rFonts w:hint="eastAsia"/>
                <w:sz w:val="18"/>
                <w:szCs w:val="21"/>
                <w:vertAlign w:val="baseline"/>
                <w:lang w:val="en-US" w:eastAsia="zh-CN"/>
              </w:rPr>
              <w:t>......</w:t>
            </w:r>
          </w:p>
          <w:p>
            <w:pPr>
              <w:numPr>
                <w:ilvl w:val="0"/>
                <w:numId w:val="0"/>
              </w:numPr>
              <w:ind w:leftChars="0" w:firstLine="360" w:firstLineChars="200"/>
              <w:rPr>
                <w:rFonts w:hint="default"/>
                <w:sz w:val="18"/>
                <w:szCs w:val="21"/>
                <w:vertAlign w:val="baseline"/>
                <w:lang w:val="en-US" w:eastAsia="zh-CN"/>
              </w:rPr>
            </w:pPr>
            <w:r>
              <w:rPr>
                <w:rFonts w:hint="eastAsia"/>
                <w:sz w:val="18"/>
                <w:szCs w:val="21"/>
                <w:vertAlign w:val="baseline"/>
                <w:lang w:val="en-US" w:eastAsia="zh-CN"/>
              </w:rPr>
              <w:t>（三）未按照规定对从业人员、被派遣劳动者、实习学生进行安全生产教育和培训，或者未按照规定如实告知有关的安全生产事项的；......</w:t>
            </w:r>
          </w:p>
          <w:p>
            <w:pPr>
              <w:numPr>
                <w:ilvl w:val="0"/>
                <w:numId w:val="0"/>
              </w:numPr>
              <w:rPr>
                <w:rFonts w:hint="eastAsia"/>
                <w:sz w:val="18"/>
                <w:szCs w:val="21"/>
                <w:vertAlign w:val="baseline"/>
                <w:lang w:val="en-US" w:eastAsia="zh-CN"/>
              </w:rPr>
            </w:pPr>
          </w:p>
        </w:tc>
        <w:tc>
          <w:tcPr>
            <w:tcW w:w="697" w:type="dxa"/>
            <w:vAlign w:val="center"/>
          </w:tcPr>
          <w:p>
            <w:pPr>
              <w:numPr>
                <w:ilvl w:val="0"/>
                <w:numId w:val="0"/>
              </w:numPr>
              <w:jc w:val="center"/>
              <w:rPr>
                <w:rFonts w:hint="default"/>
                <w:sz w:val="21"/>
                <w:szCs w:val="24"/>
                <w:vertAlign w:val="baseline"/>
                <w:lang w:val="en-US" w:eastAsia="zh-CN"/>
              </w:rPr>
            </w:pPr>
          </w:p>
        </w:tc>
        <w:tc>
          <w:tcPr>
            <w:tcW w:w="720" w:type="dxa"/>
            <w:vAlign w:val="center"/>
          </w:tcPr>
          <w:p>
            <w:pPr>
              <w:numPr>
                <w:ilvl w:val="0"/>
                <w:numId w:val="0"/>
              </w:numPr>
              <w:jc w:val="center"/>
              <w:rPr>
                <w:rFonts w:hint="default"/>
                <w:sz w:val="21"/>
                <w:szCs w:val="24"/>
                <w:vertAlign w:val="baseline"/>
                <w:lang w:val="en-US" w:eastAsia="zh-CN"/>
              </w:rPr>
            </w:pPr>
          </w:p>
        </w:tc>
        <w:tc>
          <w:tcPr>
            <w:tcW w:w="493" w:type="dxa"/>
            <w:vAlign w:val="center"/>
          </w:tcPr>
          <w:p>
            <w:pPr>
              <w:numPr>
                <w:ilvl w:val="0"/>
                <w:numId w:val="0"/>
              </w:numPr>
              <w:jc w:val="center"/>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441" w:type="dxa"/>
            <w:vMerge w:val="continue"/>
            <w:vAlign w:val="center"/>
          </w:tcPr>
          <w:p>
            <w:pPr>
              <w:numPr>
                <w:ilvl w:val="0"/>
                <w:numId w:val="0"/>
              </w:numPr>
              <w:jc w:val="center"/>
              <w:rPr>
                <w:rFonts w:hint="eastAsia"/>
                <w:sz w:val="21"/>
                <w:szCs w:val="24"/>
                <w:vertAlign w:val="baseline"/>
                <w:lang w:val="en-US" w:eastAsia="zh-CN"/>
              </w:rPr>
            </w:pPr>
          </w:p>
        </w:tc>
        <w:tc>
          <w:tcPr>
            <w:tcW w:w="659" w:type="dxa"/>
            <w:vMerge w:val="continue"/>
            <w:vAlign w:val="center"/>
          </w:tcPr>
          <w:p>
            <w:pPr>
              <w:numPr>
                <w:ilvl w:val="0"/>
                <w:numId w:val="0"/>
              </w:numPr>
              <w:jc w:val="center"/>
              <w:rPr>
                <w:rFonts w:hint="eastAsia"/>
                <w:sz w:val="18"/>
                <w:szCs w:val="21"/>
                <w:vertAlign w:val="baseline"/>
                <w:lang w:val="en-US" w:eastAsia="zh-CN"/>
              </w:rPr>
            </w:pPr>
          </w:p>
        </w:tc>
        <w:tc>
          <w:tcPr>
            <w:tcW w:w="1138" w:type="dxa"/>
            <w:vAlign w:val="center"/>
          </w:tcPr>
          <w:p>
            <w:pPr>
              <w:numPr>
                <w:ilvl w:val="0"/>
                <w:numId w:val="0"/>
              </w:numPr>
              <w:jc w:val="center"/>
              <w:rPr>
                <w:rFonts w:hint="default"/>
                <w:sz w:val="18"/>
                <w:szCs w:val="21"/>
                <w:vertAlign w:val="baseline"/>
                <w:lang w:val="en-US" w:eastAsia="zh-CN"/>
              </w:rPr>
            </w:pPr>
            <w:r>
              <w:rPr>
                <w:rFonts w:hint="eastAsia"/>
                <w:sz w:val="18"/>
                <w:szCs w:val="21"/>
                <w:vertAlign w:val="baseline"/>
                <w:lang w:val="en-US" w:eastAsia="zh-CN"/>
              </w:rPr>
              <w:t>4.4培训时间</w:t>
            </w:r>
          </w:p>
        </w:tc>
        <w:tc>
          <w:tcPr>
            <w:tcW w:w="4966" w:type="dxa"/>
            <w:vAlign w:val="center"/>
          </w:tcPr>
          <w:p>
            <w:pPr>
              <w:ind w:firstLine="360" w:firstLineChars="200"/>
              <w:rPr>
                <w:rFonts w:hint="default"/>
                <w:sz w:val="18"/>
                <w:szCs w:val="21"/>
                <w:vertAlign w:val="baseline"/>
                <w:lang w:val="en-US" w:eastAsia="zh-CN"/>
              </w:rPr>
            </w:pPr>
            <w:r>
              <w:rPr>
                <w:rFonts w:hint="eastAsia"/>
                <w:sz w:val="18"/>
                <w:szCs w:val="21"/>
                <w:vertAlign w:val="baseline"/>
                <w:lang w:val="en-US" w:eastAsia="zh-CN"/>
              </w:rPr>
              <w:t>《安全生产培训管理办法》第十一条  生产经营单位从业人员的培训内容和培训时间，应当符合《生产经营单位安全培训规定》和有关标准的规定。</w:t>
            </w:r>
          </w:p>
        </w:tc>
        <w:tc>
          <w:tcPr>
            <w:tcW w:w="6286" w:type="dxa"/>
            <w:vAlign w:val="center"/>
          </w:tcPr>
          <w:p>
            <w:pPr>
              <w:numPr>
                <w:ilvl w:val="0"/>
                <w:numId w:val="0"/>
              </w:num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《安全生产培训管理办法》第三十六条  生产经营单位有下列情形之一的，责令改正，处3万元以下的罚款；</w:t>
            </w:r>
          </w:p>
          <w:p>
            <w:pPr>
              <w:numPr>
                <w:ilvl w:val="0"/>
                <w:numId w:val="0"/>
              </w:numPr>
              <w:ind w:firstLine="360" w:firstLineChars="200"/>
              <w:rPr>
                <w:rFonts w:hint="default"/>
                <w:sz w:val="18"/>
                <w:szCs w:val="21"/>
                <w:vertAlign w:val="baseline"/>
                <w:lang w:val="en-US" w:eastAsia="zh-CN"/>
              </w:rPr>
            </w:pPr>
            <w:r>
              <w:rPr>
                <w:rFonts w:hint="eastAsia"/>
                <w:sz w:val="18"/>
                <w:szCs w:val="21"/>
                <w:vertAlign w:val="baseline"/>
                <w:lang w:val="en-US" w:eastAsia="zh-CN"/>
              </w:rPr>
              <w:t>（一）从业人员安全培训的时间少于《生产经营单位安全培训规定》或者有关标准的规定的；......</w:t>
            </w:r>
          </w:p>
        </w:tc>
        <w:tc>
          <w:tcPr>
            <w:tcW w:w="697" w:type="dxa"/>
            <w:vAlign w:val="center"/>
          </w:tcPr>
          <w:p>
            <w:pPr>
              <w:numPr>
                <w:ilvl w:val="0"/>
                <w:numId w:val="0"/>
              </w:numPr>
              <w:jc w:val="center"/>
              <w:rPr>
                <w:rFonts w:hint="default"/>
                <w:sz w:val="21"/>
                <w:szCs w:val="24"/>
                <w:vertAlign w:val="baseline"/>
                <w:lang w:val="en-US" w:eastAsia="zh-CN"/>
              </w:rPr>
            </w:pPr>
          </w:p>
        </w:tc>
        <w:tc>
          <w:tcPr>
            <w:tcW w:w="720" w:type="dxa"/>
            <w:vAlign w:val="center"/>
          </w:tcPr>
          <w:p>
            <w:pPr>
              <w:numPr>
                <w:ilvl w:val="0"/>
                <w:numId w:val="0"/>
              </w:numPr>
              <w:jc w:val="center"/>
              <w:rPr>
                <w:rFonts w:hint="default"/>
                <w:sz w:val="21"/>
                <w:szCs w:val="24"/>
                <w:vertAlign w:val="baseline"/>
                <w:lang w:val="en-US" w:eastAsia="zh-CN"/>
              </w:rPr>
            </w:pPr>
          </w:p>
        </w:tc>
        <w:tc>
          <w:tcPr>
            <w:tcW w:w="493" w:type="dxa"/>
            <w:vAlign w:val="center"/>
          </w:tcPr>
          <w:p>
            <w:pPr>
              <w:numPr>
                <w:ilvl w:val="0"/>
                <w:numId w:val="0"/>
              </w:numPr>
              <w:jc w:val="center"/>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441" w:type="dxa"/>
            <w:vMerge w:val="continue"/>
            <w:vAlign w:val="center"/>
          </w:tcPr>
          <w:p>
            <w:pPr>
              <w:numPr>
                <w:ilvl w:val="0"/>
                <w:numId w:val="0"/>
              </w:numPr>
              <w:jc w:val="center"/>
              <w:rPr>
                <w:rFonts w:hint="eastAsia"/>
                <w:sz w:val="21"/>
                <w:szCs w:val="24"/>
                <w:vertAlign w:val="baseline"/>
                <w:lang w:val="en-US" w:eastAsia="zh-CN"/>
              </w:rPr>
            </w:pPr>
          </w:p>
        </w:tc>
        <w:tc>
          <w:tcPr>
            <w:tcW w:w="659" w:type="dxa"/>
            <w:vMerge w:val="continue"/>
            <w:vAlign w:val="center"/>
          </w:tcPr>
          <w:p>
            <w:pPr>
              <w:numPr>
                <w:ilvl w:val="0"/>
                <w:numId w:val="0"/>
              </w:numPr>
              <w:jc w:val="center"/>
              <w:rPr>
                <w:rFonts w:hint="eastAsia"/>
                <w:sz w:val="18"/>
                <w:szCs w:val="21"/>
                <w:vertAlign w:val="baseline"/>
                <w:lang w:val="en-US" w:eastAsia="zh-CN"/>
              </w:rPr>
            </w:pPr>
          </w:p>
        </w:tc>
        <w:tc>
          <w:tcPr>
            <w:tcW w:w="1138" w:type="dxa"/>
            <w:vAlign w:val="center"/>
          </w:tcPr>
          <w:p>
            <w:pPr>
              <w:numPr>
                <w:ilvl w:val="0"/>
                <w:numId w:val="0"/>
              </w:numPr>
              <w:jc w:val="center"/>
              <w:rPr>
                <w:rFonts w:hint="default"/>
                <w:sz w:val="18"/>
                <w:szCs w:val="21"/>
                <w:vertAlign w:val="baseline"/>
                <w:lang w:val="en-US" w:eastAsia="zh-CN"/>
              </w:rPr>
            </w:pPr>
            <w:r>
              <w:rPr>
                <w:rFonts w:hint="eastAsia"/>
                <w:sz w:val="18"/>
                <w:szCs w:val="21"/>
                <w:vertAlign w:val="baseline"/>
                <w:lang w:val="en-US" w:eastAsia="zh-CN"/>
              </w:rPr>
              <w:t>4.5告知从业人员安全生产事项</w:t>
            </w:r>
          </w:p>
        </w:tc>
        <w:tc>
          <w:tcPr>
            <w:tcW w:w="4966" w:type="dxa"/>
            <w:vAlign w:val="center"/>
          </w:tcPr>
          <w:p>
            <w:pPr>
              <w:ind w:firstLine="360" w:firstLineChars="200"/>
              <w:rPr>
                <w:rFonts w:hint="default"/>
                <w:sz w:val="18"/>
                <w:szCs w:val="21"/>
                <w:vertAlign w:val="baseline"/>
                <w:lang w:val="en-US" w:eastAsia="zh-CN"/>
              </w:rPr>
            </w:pPr>
            <w:r>
              <w:rPr>
                <w:rFonts w:hint="eastAsia"/>
                <w:sz w:val="18"/>
                <w:szCs w:val="21"/>
                <w:vertAlign w:val="baseline"/>
                <w:lang w:val="en-US" w:eastAsia="zh-CN"/>
              </w:rPr>
              <w:t>《安全生产法》第四十四条  生产经营单位应当教育和督促从业人员严格执行本单位的安全生产规章制度和安全操作规程；并向从业人员如实告知作业场所和工作岗位存在的危险因素、防范措施以及事故应急措施。</w:t>
            </w:r>
          </w:p>
        </w:tc>
        <w:tc>
          <w:tcPr>
            <w:tcW w:w="6286" w:type="dxa"/>
            <w:vAlign w:val="center"/>
          </w:tcPr>
          <w:p>
            <w:pPr>
              <w:numPr>
                <w:ilvl w:val="0"/>
                <w:numId w:val="0"/>
              </w:num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《安全生产法》第九十七条  生产经营单位有下列为之一的，贵令限期改正，处十万元以下的罚款；逾期未改正的，责令停产停业整顿，并处十万元以上二十万元以下的罚款，对其直接负责的主管人员和其他直接责任人员处二万元以上五万元以下的罚款：......</w:t>
            </w:r>
          </w:p>
          <w:p>
            <w:pPr>
              <w:numPr>
                <w:ilvl w:val="0"/>
                <w:numId w:val="0"/>
              </w:numPr>
              <w:ind w:firstLine="360" w:firstLineChars="200"/>
              <w:rPr>
                <w:rFonts w:hint="eastAsia"/>
                <w:sz w:val="18"/>
                <w:szCs w:val="21"/>
                <w:vertAlign w:val="baseline"/>
                <w:lang w:val="en-US" w:eastAsia="zh-CN"/>
              </w:rPr>
            </w:pPr>
            <w:r>
              <w:rPr>
                <w:rFonts w:hint="eastAsia"/>
                <w:sz w:val="18"/>
                <w:szCs w:val="21"/>
                <w:vertAlign w:val="baseline"/>
                <w:lang w:val="en-US" w:eastAsia="zh-CN"/>
              </w:rPr>
              <w:t>（三）未按照规定对从业人员、被派遣劳动者、实习学生进行安全生产教育和培训，或者未按照规定如实告知有关的安全生产事项的；......</w:t>
            </w:r>
          </w:p>
        </w:tc>
        <w:tc>
          <w:tcPr>
            <w:tcW w:w="697" w:type="dxa"/>
            <w:vAlign w:val="center"/>
          </w:tcPr>
          <w:p>
            <w:pPr>
              <w:numPr>
                <w:ilvl w:val="0"/>
                <w:numId w:val="0"/>
              </w:numPr>
              <w:jc w:val="center"/>
              <w:rPr>
                <w:rFonts w:hint="default"/>
                <w:sz w:val="21"/>
                <w:szCs w:val="24"/>
                <w:vertAlign w:val="baseline"/>
                <w:lang w:val="en-US" w:eastAsia="zh-CN"/>
              </w:rPr>
            </w:pPr>
          </w:p>
        </w:tc>
        <w:tc>
          <w:tcPr>
            <w:tcW w:w="720" w:type="dxa"/>
            <w:vAlign w:val="center"/>
          </w:tcPr>
          <w:p>
            <w:pPr>
              <w:numPr>
                <w:ilvl w:val="0"/>
                <w:numId w:val="0"/>
              </w:numPr>
              <w:jc w:val="center"/>
              <w:rPr>
                <w:rFonts w:hint="default"/>
                <w:sz w:val="21"/>
                <w:szCs w:val="24"/>
                <w:vertAlign w:val="baseline"/>
                <w:lang w:val="en-US" w:eastAsia="zh-CN"/>
              </w:rPr>
            </w:pPr>
          </w:p>
        </w:tc>
        <w:tc>
          <w:tcPr>
            <w:tcW w:w="493" w:type="dxa"/>
            <w:vAlign w:val="center"/>
          </w:tcPr>
          <w:p>
            <w:pPr>
              <w:numPr>
                <w:ilvl w:val="0"/>
                <w:numId w:val="0"/>
              </w:numPr>
              <w:jc w:val="center"/>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441" w:type="dxa"/>
            <w:vMerge w:val="continue"/>
            <w:vAlign w:val="center"/>
          </w:tcPr>
          <w:p>
            <w:pPr>
              <w:numPr>
                <w:ilvl w:val="0"/>
                <w:numId w:val="0"/>
              </w:numPr>
              <w:jc w:val="center"/>
              <w:rPr>
                <w:rFonts w:hint="eastAsia"/>
                <w:sz w:val="21"/>
                <w:szCs w:val="24"/>
                <w:vertAlign w:val="baseline"/>
                <w:lang w:val="en-US" w:eastAsia="zh-CN"/>
              </w:rPr>
            </w:pPr>
          </w:p>
        </w:tc>
        <w:tc>
          <w:tcPr>
            <w:tcW w:w="659" w:type="dxa"/>
            <w:vMerge w:val="continue"/>
            <w:vAlign w:val="center"/>
          </w:tcPr>
          <w:p>
            <w:pPr>
              <w:numPr>
                <w:ilvl w:val="0"/>
                <w:numId w:val="0"/>
              </w:numPr>
              <w:jc w:val="center"/>
              <w:rPr>
                <w:rFonts w:hint="eastAsia"/>
                <w:sz w:val="18"/>
                <w:szCs w:val="21"/>
                <w:vertAlign w:val="baseline"/>
                <w:lang w:val="en-US" w:eastAsia="zh-CN"/>
              </w:rPr>
            </w:pPr>
          </w:p>
        </w:tc>
        <w:tc>
          <w:tcPr>
            <w:tcW w:w="1138" w:type="dxa"/>
            <w:vAlign w:val="center"/>
          </w:tcPr>
          <w:p>
            <w:pPr>
              <w:numPr>
                <w:ilvl w:val="0"/>
                <w:numId w:val="0"/>
              </w:numPr>
              <w:jc w:val="center"/>
              <w:rPr>
                <w:rFonts w:hint="default"/>
                <w:sz w:val="18"/>
                <w:szCs w:val="21"/>
                <w:vertAlign w:val="baseline"/>
                <w:lang w:val="en-US" w:eastAsia="zh-CN"/>
              </w:rPr>
            </w:pPr>
            <w:r>
              <w:rPr>
                <w:rFonts w:hint="eastAsia"/>
                <w:sz w:val="18"/>
                <w:szCs w:val="21"/>
                <w:vertAlign w:val="baseline"/>
                <w:lang w:val="en-US" w:eastAsia="zh-CN"/>
              </w:rPr>
              <w:t>4.6新招矿山井下、危险物品作业人员实习上岗</w:t>
            </w:r>
          </w:p>
        </w:tc>
        <w:tc>
          <w:tcPr>
            <w:tcW w:w="4966" w:type="dxa"/>
            <w:vAlign w:val="center"/>
          </w:tcPr>
          <w:p>
            <w:p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《安全生产培训管理办法》第十三条  第二款矿山新招的井下作业人员和危险物品生产经营单位新招的危险工艺操作岗位人员，除按照规定进行安全培训外，还应当在有经验的职工带领下实习满2个月后，方可独立上岗作业。</w:t>
            </w:r>
          </w:p>
        </w:tc>
        <w:tc>
          <w:tcPr>
            <w:tcW w:w="6286" w:type="dxa"/>
            <w:vAlign w:val="center"/>
          </w:tcPr>
          <w:p>
            <w:pPr>
              <w:numPr>
                <w:ilvl w:val="0"/>
                <w:numId w:val="0"/>
              </w:numPr>
              <w:ind w:firstLine="360" w:firstLineChars="200"/>
              <w:rPr>
                <w:rFonts w:hint="eastAsia"/>
                <w:sz w:val="18"/>
                <w:szCs w:val="21"/>
                <w:vertAlign w:val="baseline"/>
                <w:lang w:val="en-US" w:eastAsia="zh-CN"/>
              </w:rPr>
            </w:pPr>
            <w:r>
              <w:rPr>
                <w:rFonts w:hint="default"/>
                <w:sz w:val="18"/>
                <w:szCs w:val="21"/>
                <w:vertAlign w:val="baseline"/>
                <w:lang w:val="en-US" w:eastAsia="zh-CN"/>
              </w:rPr>
              <w:t>《安全生产培训管理办法》第三十六条</w:t>
            </w:r>
            <w:r>
              <w:rPr>
                <w:rFonts w:hint="eastAsia"/>
                <w:sz w:val="18"/>
                <w:szCs w:val="21"/>
                <w:vertAlign w:val="baseline"/>
                <w:lang w:val="en-US" w:eastAsia="zh-CN"/>
              </w:rPr>
              <w:t xml:space="preserve">  </w:t>
            </w:r>
            <w:r>
              <w:rPr>
                <w:rFonts w:hint="default"/>
                <w:sz w:val="18"/>
                <w:szCs w:val="21"/>
                <w:vertAlign w:val="baseline"/>
                <w:lang w:val="en-US" w:eastAsia="zh-CN"/>
              </w:rPr>
              <w:t>生产经营单位有下列情形之一的</w:t>
            </w:r>
            <w:r>
              <w:rPr>
                <w:rFonts w:hint="eastAsia"/>
                <w:sz w:val="18"/>
                <w:szCs w:val="21"/>
                <w:vertAlign w:val="baseline"/>
                <w:lang w:val="en-US" w:eastAsia="zh-CN"/>
              </w:rPr>
              <w:t>，责</w:t>
            </w:r>
            <w:r>
              <w:rPr>
                <w:rFonts w:hint="default"/>
                <w:sz w:val="18"/>
                <w:szCs w:val="21"/>
                <w:vertAlign w:val="baseline"/>
                <w:lang w:val="en-US" w:eastAsia="zh-CN"/>
              </w:rPr>
              <w:t>令改正</w:t>
            </w:r>
            <w:r>
              <w:rPr>
                <w:rFonts w:hint="eastAsia"/>
                <w:sz w:val="18"/>
                <w:szCs w:val="21"/>
                <w:vertAlign w:val="baseline"/>
                <w:lang w:val="en-US" w:eastAsia="zh-CN"/>
              </w:rPr>
              <w:t>，</w:t>
            </w:r>
            <w:r>
              <w:rPr>
                <w:rFonts w:hint="default"/>
                <w:sz w:val="18"/>
                <w:szCs w:val="21"/>
                <w:vertAlign w:val="baseline"/>
                <w:lang w:val="en-US" w:eastAsia="zh-CN"/>
              </w:rPr>
              <w:t>处3万元以下的罚款</w:t>
            </w:r>
            <w:r>
              <w:rPr>
                <w:rFonts w:hint="eastAsia"/>
                <w:sz w:val="18"/>
                <w:szCs w:val="21"/>
                <w:vertAlign w:val="baseline"/>
                <w:lang w:val="en-US" w:eastAsia="zh-CN"/>
              </w:rPr>
              <w:t>；......</w:t>
            </w:r>
          </w:p>
          <w:p>
            <w:pPr>
              <w:numPr>
                <w:ilvl w:val="0"/>
                <w:numId w:val="0"/>
              </w:numPr>
              <w:ind w:firstLine="360" w:firstLineChars="200"/>
              <w:rPr>
                <w:rFonts w:hint="default"/>
                <w:sz w:val="18"/>
                <w:szCs w:val="21"/>
                <w:vertAlign w:val="baseline"/>
                <w:lang w:val="en-US" w:eastAsia="zh-CN"/>
              </w:rPr>
            </w:pPr>
            <w:r>
              <w:rPr>
                <w:rFonts w:hint="eastAsia"/>
                <w:sz w:val="18"/>
                <w:szCs w:val="21"/>
                <w:vertAlign w:val="baseline"/>
                <w:lang w:val="en-US" w:eastAsia="zh-CN"/>
              </w:rPr>
              <w:t>（二）矿山新招的井下作业人员和危险物品生产经营单位新招的危险工艺操作岗位人员，未经实习期满独立上岗作业的。</w:t>
            </w:r>
          </w:p>
        </w:tc>
        <w:tc>
          <w:tcPr>
            <w:tcW w:w="697" w:type="dxa"/>
            <w:vAlign w:val="center"/>
          </w:tcPr>
          <w:p>
            <w:pPr>
              <w:numPr>
                <w:ilvl w:val="0"/>
                <w:numId w:val="0"/>
              </w:numPr>
              <w:jc w:val="center"/>
              <w:rPr>
                <w:rFonts w:hint="default"/>
                <w:sz w:val="21"/>
                <w:szCs w:val="24"/>
                <w:vertAlign w:val="baseline"/>
                <w:lang w:val="en-US" w:eastAsia="zh-CN"/>
              </w:rPr>
            </w:pPr>
          </w:p>
        </w:tc>
        <w:tc>
          <w:tcPr>
            <w:tcW w:w="720" w:type="dxa"/>
            <w:vAlign w:val="center"/>
          </w:tcPr>
          <w:p>
            <w:pPr>
              <w:numPr>
                <w:ilvl w:val="0"/>
                <w:numId w:val="0"/>
              </w:numPr>
              <w:jc w:val="center"/>
              <w:rPr>
                <w:rFonts w:hint="default"/>
                <w:sz w:val="21"/>
                <w:szCs w:val="24"/>
                <w:vertAlign w:val="baseline"/>
                <w:lang w:val="en-US" w:eastAsia="zh-CN"/>
              </w:rPr>
            </w:pPr>
          </w:p>
        </w:tc>
        <w:tc>
          <w:tcPr>
            <w:tcW w:w="493" w:type="dxa"/>
            <w:vAlign w:val="center"/>
          </w:tcPr>
          <w:p>
            <w:pPr>
              <w:numPr>
                <w:ilvl w:val="0"/>
                <w:numId w:val="0"/>
              </w:numPr>
              <w:jc w:val="center"/>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441" w:type="dxa"/>
            <w:vMerge w:val="restart"/>
            <w:vAlign w:val="center"/>
          </w:tcPr>
          <w:p>
            <w:pPr>
              <w:numPr>
                <w:ilvl w:val="0"/>
                <w:numId w:val="0"/>
              </w:numPr>
              <w:jc w:val="center"/>
              <w:rPr>
                <w:rFonts w:hint="default"/>
                <w:sz w:val="21"/>
                <w:szCs w:val="24"/>
                <w:vertAlign w:val="baseline"/>
                <w:lang w:val="en-US" w:eastAsia="zh-CN"/>
              </w:rPr>
            </w:pPr>
            <w:r>
              <w:rPr>
                <w:rFonts w:hint="eastAsia"/>
                <w:sz w:val="21"/>
                <w:szCs w:val="24"/>
                <w:vertAlign w:val="baseline"/>
                <w:lang w:val="en-US" w:eastAsia="zh-CN"/>
              </w:rPr>
              <w:t>5</w:t>
            </w:r>
          </w:p>
        </w:tc>
        <w:tc>
          <w:tcPr>
            <w:tcW w:w="659" w:type="dxa"/>
            <w:vMerge w:val="restart"/>
            <w:vAlign w:val="center"/>
          </w:tcPr>
          <w:p>
            <w:pPr>
              <w:numPr>
                <w:ilvl w:val="0"/>
                <w:numId w:val="0"/>
              </w:numPr>
              <w:jc w:val="center"/>
              <w:rPr>
                <w:rFonts w:hint="eastAsia"/>
                <w:sz w:val="18"/>
                <w:szCs w:val="21"/>
                <w:vertAlign w:val="baseline"/>
                <w:lang w:val="en-US" w:eastAsia="zh-CN"/>
              </w:rPr>
            </w:pPr>
            <w:r>
              <w:rPr>
                <w:rFonts w:hint="eastAsia"/>
                <w:sz w:val="18"/>
                <w:szCs w:val="21"/>
                <w:vertAlign w:val="baseline"/>
                <w:lang w:val="en-US" w:eastAsia="zh-CN"/>
              </w:rPr>
              <w:t>特种作业人员持证上岗情况</w:t>
            </w:r>
          </w:p>
        </w:tc>
        <w:tc>
          <w:tcPr>
            <w:tcW w:w="1138" w:type="dxa"/>
            <w:vAlign w:val="center"/>
          </w:tcPr>
          <w:p>
            <w:pPr>
              <w:numPr>
                <w:ilvl w:val="0"/>
                <w:numId w:val="0"/>
              </w:numPr>
              <w:jc w:val="center"/>
              <w:rPr>
                <w:rFonts w:hint="default"/>
                <w:sz w:val="18"/>
                <w:szCs w:val="21"/>
                <w:vertAlign w:val="baseline"/>
                <w:lang w:val="en-US" w:eastAsia="zh-CN"/>
              </w:rPr>
            </w:pPr>
            <w:r>
              <w:rPr>
                <w:rFonts w:hint="eastAsia"/>
                <w:sz w:val="18"/>
                <w:szCs w:val="21"/>
                <w:vertAlign w:val="baseline"/>
                <w:lang w:val="en-US" w:eastAsia="zh-CN"/>
              </w:rPr>
              <w:t>5.1特种作人员培训取证</w:t>
            </w:r>
          </w:p>
        </w:tc>
        <w:tc>
          <w:tcPr>
            <w:tcW w:w="4966" w:type="dxa"/>
            <w:vAlign w:val="center"/>
          </w:tcPr>
          <w:p>
            <w:p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《安全生产法》第三十条  生产经营单位的特种作业人员必须按照国家有关规定经专门的安全作业培训，取得相应资格，方可上岗作业。</w:t>
            </w:r>
          </w:p>
          <w:p>
            <w:pPr>
              <w:ind w:firstLine="360" w:firstLineChars="200"/>
              <w:rPr>
                <w:rFonts w:hint="eastAsia"/>
                <w:sz w:val="18"/>
                <w:szCs w:val="21"/>
                <w:vertAlign w:val="baseline"/>
                <w:lang w:val="en-US" w:eastAsia="zh-CN"/>
              </w:rPr>
            </w:pPr>
            <w:r>
              <w:rPr>
                <w:rFonts w:hint="eastAsia"/>
                <w:sz w:val="18"/>
                <w:szCs w:val="21"/>
                <w:vertAlign w:val="baseline"/>
                <w:lang w:val="en-US" w:eastAsia="zh-CN"/>
              </w:rPr>
              <w:t>特种作业人员的范围由国务院应急监督管理部门会同国务院有关部门确定。</w:t>
            </w:r>
          </w:p>
        </w:tc>
        <w:tc>
          <w:tcPr>
            <w:tcW w:w="6286" w:type="dxa"/>
            <w:vAlign w:val="center"/>
          </w:tcPr>
          <w:p>
            <w:pPr>
              <w:numPr>
                <w:ilvl w:val="0"/>
                <w:numId w:val="0"/>
              </w:num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《安全生产法》第九十七条  生产经营单位有下列为之一的，贵令限期改正，处十万元以下的罚款；逾期未改正的，责令停产停业整顿，并处十万元以上二十万元以下的罚款，对其直接负责的主管人员和其他直接责任人员处二万元以上五万元以下的罚款：......</w:t>
            </w:r>
          </w:p>
          <w:p>
            <w:pPr>
              <w:numPr>
                <w:ilvl w:val="0"/>
                <w:numId w:val="0"/>
              </w:numPr>
              <w:ind w:firstLine="360" w:firstLineChars="200"/>
              <w:rPr>
                <w:rFonts w:hint="default"/>
                <w:sz w:val="18"/>
                <w:szCs w:val="21"/>
                <w:vertAlign w:val="baseline"/>
                <w:lang w:val="en-US" w:eastAsia="zh-CN"/>
              </w:rPr>
            </w:pPr>
            <w:r>
              <w:rPr>
                <w:rFonts w:hint="eastAsia"/>
                <w:sz w:val="18"/>
                <w:szCs w:val="21"/>
                <w:vertAlign w:val="baseline"/>
                <w:lang w:val="en-US" w:eastAsia="zh-CN"/>
              </w:rPr>
              <w:t>（七）特种作业人员未按照规定经专门的安全培训并取得相应资格，上岗作业的。</w:t>
            </w:r>
          </w:p>
        </w:tc>
        <w:tc>
          <w:tcPr>
            <w:tcW w:w="697" w:type="dxa"/>
            <w:vAlign w:val="center"/>
          </w:tcPr>
          <w:p>
            <w:pPr>
              <w:numPr>
                <w:ilvl w:val="0"/>
                <w:numId w:val="0"/>
              </w:numPr>
              <w:jc w:val="center"/>
              <w:rPr>
                <w:rFonts w:hint="default"/>
                <w:sz w:val="21"/>
                <w:szCs w:val="24"/>
                <w:vertAlign w:val="baseline"/>
                <w:lang w:val="en-US" w:eastAsia="zh-CN"/>
              </w:rPr>
            </w:pPr>
          </w:p>
        </w:tc>
        <w:tc>
          <w:tcPr>
            <w:tcW w:w="720" w:type="dxa"/>
            <w:vAlign w:val="center"/>
          </w:tcPr>
          <w:p>
            <w:pPr>
              <w:numPr>
                <w:ilvl w:val="0"/>
                <w:numId w:val="0"/>
              </w:numPr>
              <w:jc w:val="center"/>
              <w:rPr>
                <w:rFonts w:hint="default"/>
                <w:sz w:val="21"/>
                <w:szCs w:val="24"/>
                <w:vertAlign w:val="baseline"/>
                <w:lang w:val="en-US" w:eastAsia="zh-CN"/>
              </w:rPr>
            </w:pPr>
          </w:p>
        </w:tc>
        <w:tc>
          <w:tcPr>
            <w:tcW w:w="493" w:type="dxa"/>
            <w:vAlign w:val="center"/>
          </w:tcPr>
          <w:p>
            <w:pPr>
              <w:numPr>
                <w:ilvl w:val="0"/>
                <w:numId w:val="0"/>
              </w:numPr>
              <w:jc w:val="center"/>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441" w:type="dxa"/>
            <w:vMerge w:val="continue"/>
            <w:vAlign w:val="center"/>
          </w:tcPr>
          <w:p>
            <w:pPr>
              <w:numPr>
                <w:ilvl w:val="0"/>
                <w:numId w:val="0"/>
              </w:numPr>
              <w:jc w:val="center"/>
              <w:rPr>
                <w:rFonts w:hint="eastAsia"/>
                <w:sz w:val="21"/>
                <w:szCs w:val="24"/>
                <w:vertAlign w:val="baseline"/>
                <w:lang w:val="en-US" w:eastAsia="zh-CN"/>
              </w:rPr>
            </w:pPr>
          </w:p>
        </w:tc>
        <w:tc>
          <w:tcPr>
            <w:tcW w:w="659" w:type="dxa"/>
            <w:vMerge w:val="continue"/>
            <w:vAlign w:val="center"/>
          </w:tcPr>
          <w:p>
            <w:pPr>
              <w:numPr>
                <w:ilvl w:val="0"/>
                <w:numId w:val="0"/>
              </w:numPr>
              <w:jc w:val="center"/>
              <w:rPr>
                <w:rFonts w:hint="eastAsia"/>
                <w:sz w:val="18"/>
                <w:szCs w:val="21"/>
                <w:vertAlign w:val="baseline"/>
                <w:lang w:val="en-US" w:eastAsia="zh-CN"/>
              </w:rPr>
            </w:pPr>
          </w:p>
        </w:tc>
        <w:tc>
          <w:tcPr>
            <w:tcW w:w="1138" w:type="dxa"/>
            <w:vAlign w:val="center"/>
          </w:tcPr>
          <w:p>
            <w:pPr>
              <w:numPr>
                <w:ilvl w:val="0"/>
                <w:numId w:val="0"/>
              </w:numPr>
              <w:jc w:val="center"/>
              <w:rPr>
                <w:rFonts w:hint="default"/>
                <w:sz w:val="18"/>
                <w:szCs w:val="21"/>
                <w:vertAlign w:val="baseline"/>
                <w:lang w:val="en-US" w:eastAsia="zh-CN"/>
              </w:rPr>
            </w:pPr>
            <w:r>
              <w:rPr>
                <w:rFonts w:hint="eastAsia"/>
                <w:sz w:val="18"/>
                <w:szCs w:val="21"/>
                <w:vertAlign w:val="baseline"/>
                <w:lang w:val="en-US" w:eastAsia="zh-CN"/>
              </w:rPr>
              <w:t>5.2特种作业人员证书真实性</w:t>
            </w:r>
          </w:p>
        </w:tc>
        <w:tc>
          <w:tcPr>
            <w:tcW w:w="4966" w:type="dxa"/>
            <w:vAlign w:val="center"/>
          </w:tcPr>
          <w:p>
            <w:pPr>
              <w:rPr>
                <w:rFonts w:hint="eastAsia"/>
                <w:sz w:val="18"/>
                <w:szCs w:val="21"/>
                <w:vertAlign w:val="baseline"/>
                <w:lang w:val="en-US" w:eastAsia="zh-CN"/>
              </w:rPr>
            </w:pPr>
            <w:r>
              <w:rPr>
                <w:rFonts w:hint="eastAsia"/>
                <w:sz w:val="18"/>
                <w:szCs w:val="21"/>
                <w:vertAlign w:val="baseline"/>
                <w:lang w:val="en-US" w:eastAsia="zh-CN"/>
              </w:rPr>
              <w:t>《特种作业人员安全技术培训考核管理规定》第三条</w:t>
            </w:r>
          </w:p>
        </w:tc>
        <w:tc>
          <w:tcPr>
            <w:tcW w:w="6286" w:type="dxa"/>
            <w:vAlign w:val="center"/>
          </w:tcPr>
          <w:p>
            <w:pPr>
              <w:numPr>
                <w:ilvl w:val="0"/>
                <w:numId w:val="0"/>
              </w:numPr>
              <w:ind w:firstLine="180" w:firstLineChars="100"/>
              <w:rPr>
                <w:rFonts w:hint="eastAsia"/>
                <w:sz w:val="18"/>
                <w:szCs w:val="21"/>
                <w:vertAlign w:val="baseline"/>
                <w:lang w:val="en-US" w:eastAsia="zh-CN"/>
              </w:rPr>
            </w:pPr>
            <w:r>
              <w:rPr>
                <w:rFonts w:hint="eastAsia"/>
                <w:sz w:val="18"/>
                <w:szCs w:val="21"/>
                <w:vertAlign w:val="baseline"/>
                <w:lang w:val="en-US" w:eastAsia="zh-CN"/>
              </w:rPr>
              <w:t>第十六条第二款 特种作业人员不得伪造、涂改、转借转让、冒用特种作业操作证或者使用伪造的特种作业操作证。</w:t>
            </w:r>
          </w:p>
        </w:tc>
        <w:tc>
          <w:tcPr>
            <w:tcW w:w="697" w:type="dxa"/>
            <w:vAlign w:val="center"/>
          </w:tcPr>
          <w:p>
            <w:pPr>
              <w:numPr>
                <w:ilvl w:val="0"/>
                <w:numId w:val="0"/>
              </w:numPr>
              <w:jc w:val="center"/>
              <w:rPr>
                <w:rFonts w:hint="default"/>
                <w:sz w:val="21"/>
                <w:szCs w:val="24"/>
                <w:vertAlign w:val="baseline"/>
                <w:lang w:val="en-US" w:eastAsia="zh-CN"/>
              </w:rPr>
            </w:pPr>
          </w:p>
        </w:tc>
        <w:tc>
          <w:tcPr>
            <w:tcW w:w="720" w:type="dxa"/>
            <w:vAlign w:val="center"/>
          </w:tcPr>
          <w:p>
            <w:pPr>
              <w:numPr>
                <w:ilvl w:val="0"/>
                <w:numId w:val="0"/>
              </w:numPr>
              <w:jc w:val="center"/>
              <w:rPr>
                <w:rFonts w:hint="default"/>
                <w:sz w:val="21"/>
                <w:szCs w:val="24"/>
                <w:vertAlign w:val="baseline"/>
                <w:lang w:val="en-US" w:eastAsia="zh-CN"/>
              </w:rPr>
            </w:pPr>
          </w:p>
        </w:tc>
        <w:tc>
          <w:tcPr>
            <w:tcW w:w="493" w:type="dxa"/>
            <w:vAlign w:val="center"/>
          </w:tcPr>
          <w:p>
            <w:pPr>
              <w:numPr>
                <w:ilvl w:val="0"/>
                <w:numId w:val="0"/>
              </w:numPr>
              <w:jc w:val="center"/>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9" w:hRule="atLeast"/>
        </w:trPr>
        <w:tc>
          <w:tcPr>
            <w:tcW w:w="441" w:type="dxa"/>
            <w:vMerge w:val="restart"/>
            <w:vAlign w:val="center"/>
          </w:tcPr>
          <w:p>
            <w:pPr>
              <w:numPr>
                <w:ilvl w:val="0"/>
                <w:numId w:val="0"/>
              </w:numPr>
              <w:jc w:val="center"/>
              <w:rPr>
                <w:rFonts w:hint="default"/>
                <w:sz w:val="21"/>
                <w:szCs w:val="24"/>
                <w:vertAlign w:val="baseline"/>
                <w:lang w:val="en-US" w:eastAsia="zh-CN"/>
              </w:rPr>
            </w:pPr>
            <w:r>
              <w:rPr>
                <w:rFonts w:hint="eastAsia"/>
                <w:sz w:val="21"/>
                <w:szCs w:val="24"/>
                <w:vertAlign w:val="baseline"/>
                <w:lang w:val="en-US" w:eastAsia="zh-CN"/>
              </w:rPr>
              <w:t>6</w:t>
            </w:r>
          </w:p>
        </w:tc>
        <w:tc>
          <w:tcPr>
            <w:tcW w:w="659" w:type="dxa"/>
            <w:vMerge w:val="restart"/>
            <w:vAlign w:val="center"/>
          </w:tcPr>
          <w:p>
            <w:pPr>
              <w:numPr>
                <w:ilvl w:val="0"/>
                <w:numId w:val="0"/>
              </w:numPr>
              <w:jc w:val="center"/>
              <w:rPr>
                <w:rFonts w:hint="eastAsia"/>
                <w:sz w:val="18"/>
                <w:szCs w:val="21"/>
                <w:vertAlign w:val="baseline"/>
                <w:lang w:val="en-US" w:eastAsia="zh-CN"/>
              </w:rPr>
            </w:pPr>
            <w:r>
              <w:rPr>
                <w:rFonts w:hint="eastAsia"/>
                <w:sz w:val="18"/>
                <w:szCs w:val="21"/>
                <w:vertAlign w:val="baseline"/>
                <w:lang w:val="en-US" w:eastAsia="zh-CN"/>
              </w:rPr>
              <w:t>建设项目安全评价及建设项目安全设施“三同时”情况</w:t>
            </w:r>
          </w:p>
        </w:tc>
        <w:tc>
          <w:tcPr>
            <w:tcW w:w="1138" w:type="dxa"/>
            <w:vAlign w:val="center"/>
          </w:tcPr>
          <w:p>
            <w:pPr>
              <w:numPr>
                <w:ilvl w:val="0"/>
                <w:numId w:val="0"/>
              </w:numPr>
              <w:jc w:val="center"/>
              <w:rPr>
                <w:rFonts w:hint="default"/>
                <w:sz w:val="18"/>
                <w:szCs w:val="21"/>
                <w:vertAlign w:val="baseline"/>
                <w:lang w:val="en-US" w:eastAsia="zh-CN"/>
              </w:rPr>
            </w:pPr>
            <w:r>
              <w:rPr>
                <w:rFonts w:hint="eastAsia"/>
                <w:sz w:val="18"/>
                <w:szCs w:val="21"/>
                <w:vertAlign w:val="baseline"/>
                <w:lang w:val="en-US" w:eastAsia="zh-CN"/>
              </w:rPr>
              <w:t>6.1高危建设项目安全评价</w:t>
            </w:r>
          </w:p>
        </w:tc>
        <w:tc>
          <w:tcPr>
            <w:tcW w:w="4966" w:type="dxa"/>
            <w:vAlign w:val="center"/>
          </w:tcPr>
          <w:p>
            <w:p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《安全生产法》第二十九条  矿山、金属冶炼建设项目和用于生产、储存、装卸危险物品的建设项目，应当按照国家有关规定进行安全评价。</w:t>
            </w:r>
          </w:p>
          <w:p>
            <w:pPr>
              <w:ind w:firstLine="360" w:firstLineChars="200"/>
              <w:rPr>
                <w:rFonts w:hint="eastAsia"/>
                <w:sz w:val="18"/>
                <w:szCs w:val="21"/>
                <w:vertAlign w:val="baseline"/>
                <w:lang w:val="en-US" w:eastAsia="zh-CN"/>
              </w:rPr>
            </w:pPr>
            <w:r>
              <w:rPr>
                <w:rFonts w:hint="eastAsia"/>
                <w:sz w:val="18"/>
                <w:szCs w:val="21"/>
                <w:vertAlign w:val="baseline"/>
                <w:lang w:val="en-US" w:eastAsia="zh-CN"/>
              </w:rPr>
              <w:t>《建设项目安全设施“三同时”监督管理办法》第七条 下列建设项目在进行可行性研究时，生产经营单位应当按照国家规定，进行安全预评价：</w:t>
            </w:r>
          </w:p>
          <w:p>
            <w:pPr>
              <w:numPr>
                <w:ilvl w:val="0"/>
                <w:numId w:val="0"/>
              </w:numPr>
              <w:ind w:firstLine="360" w:firstLineChars="200"/>
              <w:rPr>
                <w:rFonts w:hint="eastAsia"/>
                <w:sz w:val="18"/>
                <w:szCs w:val="21"/>
                <w:vertAlign w:val="baseline"/>
                <w:lang w:val="en-US" w:eastAsia="zh-CN"/>
              </w:rPr>
            </w:pPr>
            <w:r>
              <w:rPr>
                <w:rFonts w:hint="eastAsia"/>
                <w:sz w:val="18"/>
                <w:szCs w:val="21"/>
                <w:vertAlign w:val="baseline"/>
                <w:lang w:val="en-US" w:eastAsia="zh-CN"/>
              </w:rPr>
              <w:t>（一）非煤矿矿山建设项目；</w:t>
            </w:r>
          </w:p>
          <w:p>
            <w:pPr>
              <w:numPr>
                <w:ilvl w:val="0"/>
                <w:numId w:val="0"/>
              </w:numPr>
              <w:ind w:firstLine="360" w:firstLineChars="200"/>
              <w:rPr>
                <w:rFonts w:hint="eastAsia"/>
                <w:sz w:val="18"/>
                <w:szCs w:val="21"/>
                <w:vertAlign w:val="baseline"/>
                <w:lang w:val="en-US" w:eastAsia="zh-CN"/>
              </w:rPr>
            </w:pPr>
            <w:r>
              <w:rPr>
                <w:rFonts w:hint="eastAsia"/>
                <w:sz w:val="18"/>
                <w:szCs w:val="21"/>
                <w:vertAlign w:val="baseline"/>
                <w:lang w:val="en-US" w:eastAsia="zh-CN"/>
              </w:rPr>
              <w:t>（二）生产、储存危险化学品(包括使用长输管道输送危险化学品，下同)的建设项目；</w:t>
            </w:r>
          </w:p>
          <w:p>
            <w:pPr>
              <w:numPr>
                <w:ilvl w:val="0"/>
                <w:numId w:val="0"/>
              </w:numPr>
              <w:ind w:firstLine="360" w:firstLineChars="200"/>
              <w:rPr>
                <w:rFonts w:hint="eastAsia"/>
                <w:sz w:val="18"/>
                <w:szCs w:val="21"/>
                <w:vertAlign w:val="baseline"/>
                <w:lang w:val="en-US" w:eastAsia="zh-CN"/>
              </w:rPr>
            </w:pPr>
            <w:r>
              <w:rPr>
                <w:rFonts w:hint="eastAsia"/>
                <w:sz w:val="18"/>
                <w:szCs w:val="21"/>
                <w:vertAlign w:val="baseline"/>
                <w:lang w:val="en-US" w:eastAsia="zh-CN"/>
              </w:rPr>
              <w:t>（三）生产、储存烟花爆竹的建设项目;</w:t>
            </w:r>
          </w:p>
          <w:p>
            <w:pPr>
              <w:numPr>
                <w:ilvl w:val="0"/>
                <w:numId w:val="0"/>
              </w:numPr>
              <w:ind w:firstLine="360" w:firstLineChars="200"/>
              <w:rPr>
                <w:rFonts w:hint="eastAsia"/>
                <w:sz w:val="18"/>
                <w:szCs w:val="21"/>
                <w:vertAlign w:val="baseline"/>
                <w:lang w:val="en-US" w:eastAsia="zh-CN"/>
              </w:rPr>
            </w:pPr>
            <w:r>
              <w:rPr>
                <w:rFonts w:hint="eastAsia"/>
                <w:sz w:val="18"/>
                <w:szCs w:val="21"/>
                <w:vertAlign w:val="baseline"/>
                <w:lang w:val="en-US" w:eastAsia="zh-CN"/>
              </w:rPr>
              <w:t>（四）金属冶炼建设项目;</w:t>
            </w:r>
          </w:p>
          <w:p>
            <w:pPr>
              <w:numPr>
                <w:ilvl w:val="0"/>
                <w:numId w:val="0"/>
              </w:numPr>
              <w:ind w:firstLine="360" w:firstLineChars="200"/>
              <w:rPr>
                <w:rFonts w:hint="eastAsia"/>
                <w:sz w:val="18"/>
                <w:szCs w:val="21"/>
                <w:vertAlign w:val="baseline"/>
                <w:lang w:val="en-US" w:eastAsia="zh-CN"/>
              </w:rPr>
            </w:pPr>
            <w:r>
              <w:rPr>
                <w:rFonts w:hint="eastAsia"/>
                <w:sz w:val="18"/>
                <w:szCs w:val="21"/>
                <w:vertAlign w:val="baseline"/>
                <w:lang w:val="en-US" w:eastAsia="zh-CN"/>
              </w:rPr>
              <w:t>（五）使用危险化学品从事生产并且使用量达到规定数量的化工建设项目(属于危险化学品生产的除外,下同）；</w:t>
            </w:r>
          </w:p>
          <w:p>
            <w:pPr>
              <w:numPr>
                <w:ilvl w:val="0"/>
                <w:numId w:val="0"/>
              </w:numPr>
              <w:ind w:firstLine="360" w:firstLineChars="200"/>
              <w:rPr>
                <w:rFonts w:hint="eastAsia"/>
                <w:sz w:val="18"/>
                <w:szCs w:val="21"/>
                <w:vertAlign w:val="baseline"/>
                <w:lang w:val="en-US" w:eastAsia="zh-CN"/>
              </w:rPr>
            </w:pPr>
            <w:r>
              <w:rPr>
                <w:rFonts w:hint="eastAsia"/>
                <w:sz w:val="18"/>
                <w:szCs w:val="21"/>
                <w:vertAlign w:val="baseline"/>
                <w:lang w:val="en-US" w:eastAsia="zh-CN"/>
              </w:rPr>
              <w:t>（六）法律、行政法规和国务院规定的其他建设项目。</w:t>
            </w:r>
          </w:p>
          <w:p>
            <w:pPr>
              <w:numPr>
                <w:ilvl w:val="0"/>
                <w:numId w:val="0"/>
              </w:numPr>
              <w:ind w:firstLine="360" w:firstLineChars="200"/>
              <w:rPr>
                <w:rFonts w:hint="eastAsia"/>
                <w:sz w:val="18"/>
                <w:szCs w:val="21"/>
                <w:vertAlign w:val="baseline"/>
                <w:lang w:val="en-US" w:eastAsia="zh-CN"/>
              </w:rPr>
            </w:pPr>
            <w:r>
              <w:rPr>
                <w:rFonts w:hint="eastAsia"/>
                <w:sz w:val="18"/>
                <w:szCs w:val="21"/>
                <w:vertAlign w:val="baseline"/>
                <w:lang w:val="en-US" w:eastAsia="zh-CN"/>
              </w:rPr>
              <w:t>《建设项目安全设施“三同时”监督管理办法》第二十二条第一款  本办法第七条规定的建设项目安全设施竣工或者试运行完成后，生产经营单位应当委托具有相应资质的安全评价机构对安全设施进行验收评价，并编制建设项目安全验收评价报告。</w:t>
            </w:r>
          </w:p>
        </w:tc>
        <w:tc>
          <w:tcPr>
            <w:tcW w:w="6286" w:type="dxa"/>
            <w:vAlign w:val="center"/>
          </w:tcPr>
          <w:p>
            <w:pPr>
              <w:numPr>
                <w:ilvl w:val="0"/>
                <w:numId w:val="0"/>
              </w:num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《安全生产法》第九十八条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贵任：</w:t>
            </w:r>
          </w:p>
          <w:p>
            <w:pPr>
              <w:numPr>
                <w:ilvl w:val="0"/>
                <w:numId w:val="0"/>
              </w:numPr>
              <w:ind w:firstLine="360" w:firstLineChars="200"/>
              <w:rPr>
                <w:rFonts w:hint="eastAsia"/>
                <w:sz w:val="18"/>
                <w:szCs w:val="21"/>
                <w:vertAlign w:val="baseline"/>
                <w:lang w:val="en-US" w:eastAsia="zh-CN"/>
              </w:rPr>
            </w:pPr>
            <w:r>
              <w:rPr>
                <w:rFonts w:hint="eastAsia"/>
                <w:sz w:val="18"/>
                <w:szCs w:val="21"/>
                <w:vertAlign w:val="baseline"/>
                <w:lang w:val="en-US" w:eastAsia="zh-CN"/>
              </w:rPr>
              <w:t>（一）未按照规定对矿山、金属冶炼建设项目或者用于生产、储存、装卸危险物品的建设项目进行安全评价的。</w:t>
            </w:r>
          </w:p>
          <w:p>
            <w:pPr>
              <w:numPr>
                <w:ilvl w:val="0"/>
                <w:numId w:val="0"/>
              </w:numPr>
              <w:ind w:firstLine="360" w:firstLineChars="200"/>
              <w:rPr>
                <w:rFonts w:hint="default"/>
                <w:sz w:val="15"/>
                <w:szCs w:val="15"/>
                <w:vertAlign w:val="baseline"/>
                <w:lang w:val="en-US" w:eastAsia="zh-CN"/>
              </w:rPr>
            </w:pPr>
            <w:r>
              <w:rPr>
                <w:rFonts w:hint="eastAsia"/>
                <w:sz w:val="18"/>
                <w:szCs w:val="21"/>
                <w:vertAlign w:val="baseline"/>
                <w:lang w:val="en-US" w:eastAsia="zh-CN"/>
              </w:rPr>
              <w:t>............</w:t>
            </w:r>
          </w:p>
        </w:tc>
        <w:tc>
          <w:tcPr>
            <w:tcW w:w="697" w:type="dxa"/>
            <w:vAlign w:val="center"/>
          </w:tcPr>
          <w:p>
            <w:pPr>
              <w:numPr>
                <w:ilvl w:val="0"/>
                <w:numId w:val="0"/>
              </w:numPr>
              <w:jc w:val="center"/>
              <w:rPr>
                <w:rFonts w:hint="default"/>
                <w:sz w:val="21"/>
                <w:szCs w:val="24"/>
                <w:vertAlign w:val="baseline"/>
                <w:lang w:val="en-US" w:eastAsia="zh-CN"/>
              </w:rPr>
            </w:pPr>
          </w:p>
        </w:tc>
        <w:tc>
          <w:tcPr>
            <w:tcW w:w="720" w:type="dxa"/>
            <w:vAlign w:val="center"/>
          </w:tcPr>
          <w:p>
            <w:pPr>
              <w:numPr>
                <w:ilvl w:val="0"/>
                <w:numId w:val="0"/>
              </w:numPr>
              <w:jc w:val="center"/>
              <w:rPr>
                <w:rFonts w:hint="default"/>
                <w:sz w:val="21"/>
                <w:szCs w:val="24"/>
                <w:vertAlign w:val="baseline"/>
                <w:lang w:val="en-US" w:eastAsia="zh-CN"/>
              </w:rPr>
            </w:pPr>
          </w:p>
        </w:tc>
        <w:tc>
          <w:tcPr>
            <w:tcW w:w="493" w:type="dxa"/>
            <w:vAlign w:val="center"/>
          </w:tcPr>
          <w:p>
            <w:pPr>
              <w:numPr>
                <w:ilvl w:val="0"/>
                <w:numId w:val="0"/>
              </w:numPr>
              <w:jc w:val="center"/>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trPr>
        <w:tc>
          <w:tcPr>
            <w:tcW w:w="441" w:type="dxa"/>
            <w:vMerge w:val="continue"/>
            <w:vAlign w:val="center"/>
          </w:tcPr>
          <w:p>
            <w:pPr>
              <w:numPr>
                <w:ilvl w:val="0"/>
                <w:numId w:val="0"/>
              </w:numPr>
              <w:jc w:val="center"/>
              <w:rPr>
                <w:rFonts w:hint="eastAsia"/>
                <w:sz w:val="21"/>
                <w:szCs w:val="24"/>
                <w:vertAlign w:val="baseline"/>
                <w:lang w:val="en-US" w:eastAsia="zh-CN"/>
              </w:rPr>
            </w:pPr>
          </w:p>
        </w:tc>
        <w:tc>
          <w:tcPr>
            <w:tcW w:w="659" w:type="dxa"/>
            <w:vMerge w:val="continue"/>
            <w:vAlign w:val="center"/>
          </w:tcPr>
          <w:p>
            <w:pPr>
              <w:numPr>
                <w:ilvl w:val="0"/>
                <w:numId w:val="0"/>
              </w:numPr>
              <w:jc w:val="center"/>
              <w:rPr>
                <w:rFonts w:hint="eastAsia"/>
                <w:sz w:val="18"/>
                <w:szCs w:val="21"/>
                <w:vertAlign w:val="baseline"/>
                <w:lang w:val="en-US" w:eastAsia="zh-CN"/>
              </w:rPr>
            </w:pPr>
          </w:p>
        </w:tc>
        <w:tc>
          <w:tcPr>
            <w:tcW w:w="1138" w:type="dxa"/>
            <w:vAlign w:val="center"/>
          </w:tcPr>
          <w:p>
            <w:pPr>
              <w:numPr>
                <w:ilvl w:val="0"/>
                <w:numId w:val="0"/>
              </w:numPr>
              <w:jc w:val="center"/>
              <w:rPr>
                <w:rFonts w:hint="default"/>
                <w:sz w:val="18"/>
                <w:szCs w:val="21"/>
                <w:vertAlign w:val="baseline"/>
                <w:lang w:val="en-US" w:eastAsia="zh-CN"/>
              </w:rPr>
            </w:pPr>
            <w:r>
              <w:rPr>
                <w:rFonts w:hint="eastAsia"/>
                <w:sz w:val="18"/>
                <w:szCs w:val="21"/>
                <w:vertAlign w:val="baseline"/>
                <w:lang w:val="en-US" w:eastAsia="zh-CN"/>
              </w:rPr>
              <w:t>6.2高危建设项目安全设施设计审查</w:t>
            </w:r>
          </w:p>
        </w:tc>
        <w:tc>
          <w:tcPr>
            <w:tcW w:w="4966" w:type="dxa"/>
            <w:vAlign w:val="center"/>
          </w:tcPr>
          <w:p>
            <w:p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《安全生产法》第三十三条  建设项目安全设施的设计人、设计单位应当对安全设施设计负责。</w:t>
            </w:r>
          </w:p>
          <w:p>
            <w:pPr>
              <w:ind w:firstLine="360" w:firstLineChars="200"/>
              <w:rPr>
                <w:rFonts w:hint="eastAsia"/>
                <w:sz w:val="18"/>
                <w:szCs w:val="21"/>
                <w:vertAlign w:val="baseline"/>
                <w:lang w:val="en-US" w:eastAsia="zh-CN"/>
              </w:rPr>
            </w:pPr>
            <w:r>
              <w:rPr>
                <w:rFonts w:hint="eastAsia"/>
                <w:sz w:val="18"/>
                <w:szCs w:val="21"/>
                <w:vertAlign w:val="baseline"/>
                <w:lang w:val="en-US" w:eastAsia="zh-CN"/>
              </w:rPr>
              <w:t>矿山、金属冶炼建设项目和用于生产、储存、装卸危险物品的建设项目的安全设施设计应当按照国家有关规定报经有关部门审查，审查部门及其负责审查的人员对审查结果负责。</w:t>
            </w:r>
          </w:p>
        </w:tc>
        <w:tc>
          <w:tcPr>
            <w:tcW w:w="6286" w:type="dxa"/>
            <w:vAlign w:val="center"/>
          </w:tcPr>
          <w:p>
            <w:pPr>
              <w:numPr>
                <w:ilvl w:val="0"/>
                <w:numId w:val="0"/>
              </w:num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《安全生产法》第九十八条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贵任：......</w:t>
            </w:r>
          </w:p>
          <w:p>
            <w:pPr>
              <w:numPr>
                <w:ilvl w:val="0"/>
                <w:numId w:val="0"/>
              </w:numPr>
              <w:ind w:leftChars="0" w:firstLine="360" w:firstLineChars="200"/>
              <w:rPr>
                <w:rFonts w:hint="default"/>
                <w:sz w:val="18"/>
                <w:szCs w:val="21"/>
                <w:vertAlign w:val="baseline"/>
                <w:lang w:val="en-US" w:eastAsia="zh-CN"/>
              </w:rPr>
            </w:pPr>
            <w:r>
              <w:rPr>
                <w:rFonts w:hint="eastAsia"/>
                <w:sz w:val="18"/>
                <w:szCs w:val="21"/>
                <w:vertAlign w:val="baseline"/>
                <w:lang w:val="en-US" w:eastAsia="zh-CN"/>
              </w:rPr>
              <w:t>（二）矿山、金属冶炼建设项目或者用于生产、储存、装卸危险物品的建设项目没有安全设施设计或者安全设施设计未按照规定报经有关部门审查同意的；.......</w:t>
            </w:r>
          </w:p>
        </w:tc>
        <w:tc>
          <w:tcPr>
            <w:tcW w:w="697" w:type="dxa"/>
            <w:vAlign w:val="center"/>
          </w:tcPr>
          <w:p>
            <w:pPr>
              <w:numPr>
                <w:ilvl w:val="0"/>
                <w:numId w:val="0"/>
              </w:numPr>
              <w:jc w:val="center"/>
              <w:rPr>
                <w:rFonts w:hint="default"/>
                <w:sz w:val="21"/>
                <w:szCs w:val="24"/>
                <w:vertAlign w:val="baseline"/>
                <w:lang w:val="en-US" w:eastAsia="zh-CN"/>
              </w:rPr>
            </w:pPr>
          </w:p>
        </w:tc>
        <w:tc>
          <w:tcPr>
            <w:tcW w:w="720" w:type="dxa"/>
            <w:vAlign w:val="center"/>
          </w:tcPr>
          <w:p>
            <w:pPr>
              <w:numPr>
                <w:ilvl w:val="0"/>
                <w:numId w:val="0"/>
              </w:numPr>
              <w:jc w:val="center"/>
              <w:rPr>
                <w:rFonts w:hint="default"/>
                <w:sz w:val="21"/>
                <w:szCs w:val="24"/>
                <w:vertAlign w:val="baseline"/>
                <w:lang w:val="en-US" w:eastAsia="zh-CN"/>
              </w:rPr>
            </w:pPr>
          </w:p>
        </w:tc>
        <w:tc>
          <w:tcPr>
            <w:tcW w:w="493" w:type="dxa"/>
            <w:vAlign w:val="center"/>
          </w:tcPr>
          <w:p>
            <w:pPr>
              <w:numPr>
                <w:ilvl w:val="0"/>
                <w:numId w:val="0"/>
              </w:numPr>
              <w:jc w:val="center"/>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trPr>
        <w:tc>
          <w:tcPr>
            <w:tcW w:w="441" w:type="dxa"/>
            <w:vMerge w:val="continue"/>
            <w:vAlign w:val="center"/>
          </w:tcPr>
          <w:p>
            <w:pPr>
              <w:numPr>
                <w:ilvl w:val="0"/>
                <w:numId w:val="0"/>
              </w:numPr>
              <w:jc w:val="center"/>
              <w:rPr>
                <w:rFonts w:hint="eastAsia"/>
                <w:sz w:val="21"/>
                <w:szCs w:val="24"/>
                <w:vertAlign w:val="baseline"/>
                <w:lang w:val="en-US" w:eastAsia="zh-CN"/>
              </w:rPr>
            </w:pPr>
          </w:p>
        </w:tc>
        <w:tc>
          <w:tcPr>
            <w:tcW w:w="659" w:type="dxa"/>
            <w:vMerge w:val="continue"/>
            <w:vAlign w:val="center"/>
          </w:tcPr>
          <w:p>
            <w:pPr>
              <w:numPr>
                <w:ilvl w:val="0"/>
                <w:numId w:val="0"/>
              </w:numPr>
              <w:jc w:val="center"/>
              <w:rPr>
                <w:rFonts w:hint="eastAsia"/>
                <w:sz w:val="18"/>
                <w:szCs w:val="21"/>
                <w:vertAlign w:val="baseline"/>
                <w:lang w:val="en-US" w:eastAsia="zh-CN"/>
              </w:rPr>
            </w:pPr>
          </w:p>
        </w:tc>
        <w:tc>
          <w:tcPr>
            <w:tcW w:w="1138" w:type="dxa"/>
            <w:vAlign w:val="center"/>
          </w:tcPr>
          <w:p>
            <w:pPr>
              <w:numPr>
                <w:ilvl w:val="0"/>
                <w:numId w:val="0"/>
              </w:numPr>
              <w:jc w:val="center"/>
              <w:rPr>
                <w:rFonts w:hint="default"/>
                <w:sz w:val="18"/>
                <w:szCs w:val="21"/>
                <w:vertAlign w:val="baseline"/>
                <w:lang w:val="en-US" w:eastAsia="zh-CN"/>
              </w:rPr>
            </w:pPr>
            <w:r>
              <w:rPr>
                <w:rFonts w:hint="eastAsia"/>
                <w:sz w:val="18"/>
                <w:szCs w:val="21"/>
                <w:vertAlign w:val="baseline"/>
                <w:lang w:val="en-US" w:eastAsia="zh-CN"/>
              </w:rPr>
              <w:t>6.3高危建设项目安全设施设计重新审查</w:t>
            </w:r>
          </w:p>
        </w:tc>
        <w:tc>
          <w:tcPr>
            <w:tcW w:w="4966" w:type="dxa"/>
            <w:vAlign w:val="center"/>
          </w:tcPr>
          <w:p>
            <w:pPr>
              <w:ind w:firstLine="360" w:firstLineChars="200"/>
              <w:rPr>
                <w:rFonts w:hint="eastAsia"/>
                <w:sz w:val="18"/>
                <w:szCs w:val="21"/>
                <w:vertAlign w:val="baseline"/>
                <w:lang w:val="en-US" w:eastAsia="zh-CN"/>
              </w:rPr>
            </w:pPr>
            <w:r>
              <w:rPr>
                <w:rFonts w:hint="eastAsia"/>
                <w:sz w:val="18"/>
                <w:szCs w:val="21"/>
                <w:vertAlign w:val="baseline"/>
                <w:lang w:val="en-US" w:eastAsia="zh-CN"/>
              </w:rPr>
              <w:t>《建设项目安全设施“三同时”监督管理办法》第十五条  已经批准的建设项目及其安全设施设计有下列情形之一的，生产经营单位应当报原批准部门审查同意；未经审查同意的，不得开工建设：</w:t>
            </w:r>
          </w:p>
          <w:p>
            <w:pPr>
              <w:numPr>
                <w:ilvl w:val="0"/>
                <w:numId w:val="3"/>
              </w:numPr>
              <w:rPr>
                <w:rFonts w:hint="eastAsia"/>
                <w:sz w:val="18"/>
                <w:szCs w:val="21"/>
                <w:vertAlign w:val="baseline"/>
                <w:lang w:val="en-US" w:eastAsia="zh-CN"/>
              </w:rPr>
            </w:pPr>
            <w:r>
              <w:rPr>
                <w:rFonts w:hint="eastAsia"/>
                <w:sz w:val="18"/>
                <w:szCs w:val="21"/>
                <w:vertAlign w:val="baseline"/>
                <w:lang w:val="en-US" w:eastAsia="zh-CN"/>
              </w:rPr>
              <w:t>建设项目的规模、生产工艺、原料、设备发生重大变更的；</w:t>
            </w:r>
          </w:p>
          <w:p>
            <w:pPr>
              <w:numPr>
                <w:ilvl w:val="0"/>
                <w:numId w:val="3"/>
              </w:numPr>
              <w:rPr>
                <w:rFonts w:hint="default"/>
                <w:sz w:val="18"/>
                <w:szCs w:val="21"/>
                <w:vertAlign w:val="baseline"/>
                <w:lang w:val="en-US" w:eastAsia="zh-CN"/>
              </w:rPr>
            </w:pPr>
            <w:r>
              <w:rPr>
                <w:rFonts w:hint="eastAsia"/>
                <w:sz w:val="18"/>
                <w:szCs w:val="21"/>
                <w:vertAlign w:val="baseline"/>
                <w:lang w:val="en-US" w:eastAsia="zh-CN"/>
              </w:rPr>
              <w:t>改变安全设施设计且可能降低安全性能的；</w:t>
            </w:r>
          </w:p>
          <w:p>
            <w:pPr>
              <w:numPr>
                <w:ilvl w:val="0"/>
                <w:numId w:val="3"/>
              </w:numPr>
              <w:rPr>
                <w:rFonts w:hint="default"/>
                <w:sz w:val="18"/>
                <w:szCs w:val="21"/>
                <w:vertAlign w:val="baseline"/>
                <w:lang w:val="en-US" w:eastAsia="zh-CN"/>
              </w:rPr>
            </w:pPr>
            <w:r>
              <w:rPr>
                <w:rFonts w:hint="eastAsia"/>
                <w:sz w:val="18"/>
                <w:szCs w:val="21"/>
                <w:vertAlign w:val="baseline"/>
                <w:lang w:val="en-US" w:eastAsia="zh-CN"/>
              </w:rPr>
              <w:t>在施工期间重新设计的。</w:t>
            </w:r>
          </w:p>
        </w:tc>
        <w:tc>
          <w:tcPr>
            <w:tcW w:w="6286" w:type="dxa"/>
            <w:vAlign w:val="center"/>
          </w:tcPr>
          <w:p>
            <w:pPr>
              <w:numPr>
                <w:ilvl w:val="0"/>
                <w:numId w:val="0"/>
              </w:numPr>
              <w:ind w:firstLine="360" w:firstLineChars="200"/>
              <w:rPr>
                <w:rFonts w:hint="default"/>
                <w:sz w:val="18"/>
                <w:szCs w:val="21"/>
                <w:vertAlign w:val="baseline"/>
                <w:lang w:val="en-US" w:eastAsia="zh-CN"/>
              </w:rPr>
            </w:pPr>
            <w:r>
              <w:rPr>
                <w:rFonts w:hint="eastAsia"/>
                <w:sz w:val="18"/>
                <w:szCs w:val="21"/>
                <w:vertAlign w:val="baseline"/>
                <w:lang w:val="en-US" w:eastAsia="zh-CN"/>
              </w:rPr>
              <w:t>《建设项目安金设施“三同时”监督營理办法》第二十九条  已经批准的建设项目安全设施设计发生重大变更，生产经营单位未报原批准部门审查同意擅自开工建设的，责令限期改正，可以并处1万元以上3万元以下的罚款。</w:t>
            </w:r>
          </w:p>
        </w:tc>
        <w:tc>
          <w:tcPr>
            <w:tcW w:w="697" w:type="dxa"/>
            <w:vAlign w:val="center"/>
          </w:tcPr>
          <w:p>
            <w:pPr>
              <w:numPr>
                <w:ilvl w:val="0"/>
                <w:numId w:val="0"/>
              </w:numPr>
              <w:jc w:val="center"/>
              <w:rPr>
                <w:rFonts w:hint="default"/>
                <w:sz w:val="21"/>
                <w:szCs w:val="24"/>
                <w:vertAlign w:val="baseline"/>
                <w:lang w:val="en-US" w:eastAsia="zh-CN"/>
              </w:rPr>
            </w:pPr>
          </w:p>
        </w:tc>
        <w:tc>
          <w:tcPr>
            <w:tcW w:w="720" w:type="dxa"/>
            <w:vAlign w:val="center"/>
          </w:tcPr>
          <w:p>
            <w:pPr>
              <w:numPr>
                <w:ilvl w:val="0"/>
                <w:numId w:val="0"/>
              </w:numPr>
              <w:jc w:val="center"/>
              <w:rPr>
                <w:rFonts w:hint="default"/>
                <w:sz w:val="21"/>
                <w:szCs w:val="24"/>
                <w:vertAlign w:val="baseline"/>
                <w:lang w:val="en-US" w:eastAsia="zh-CN"/>
              </w:rPr>
            </w:pPr>
          </w:p>
        </w:tc>
        <w:tc>
          <w:tcPr>
            <w:tcW w:w="493" w:type="dxa"/>
            <w:vAlign w:val="center"/>
          </w:tcPr>
          <w:p>
            <w:pPr>
              <w:numPr>
                <w:ilvl w:val="0"/>
                <w:numId w:val="0"/>
              </w:numPr>
              <w:jc w:val="center"/>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trPr>
        <w:tc>
          <w:tcPr>
            <w:tcW w:w="441" w:type="dxa"/>
            <w:vMerge w:val="continue"/>
            <w:vAlign w:val="center"/>
          </w:tcPr>
          <w:p>
            <w:pPr>
              <w:numPr>
                <w:ilvl w:val="0"/>
                <w:numId w:val="0"/>
              </w:numPr>
              <w:jc w:val="center"/>
              <w:rPr>
                <w:rFonts w:hint="eastAsia"/>
                <w:sz w:val="21"/>
                <w:szCs w:val="24"/>
                <w:vertAlign w:val="baseline"/>
                <w:lang w:val="en-US" w:eastAsia="zh-CN"/>
              </w:rPr>
            </w:pPr>
          </w:p>
        </w:tc>
        <w:tc>
          <w:tcPr>
            <w:tcW w:w="659" w:type="dxa"/>
            <w:vMerge w:val="continue"/>
            <w:vAlign w:val="center"/>
          </w:tcPr>
          <w:p>
            <w:pPr>
              <w:numPr>
                <w:ilvl w:val="0"/>
                <w:numId w:val="0"/>
              </w:numPr>
              <w:jc w:val="center"/>
              <w:rPr>
                <w:rFonts w:hint="eastAsia"/>
                <w:sz w:val="18"/>
                <w:szCs w:val="21"/>
                <w:vertAlign w:val="baseline"/>
                <w:lang w:val="en-US" w:eastAsia="zh-CN"/>
              </w:rPr>
            </w:pPr>
          </w:p>
        </w:tc>
        <w:tc>
          <w:tcPr>
            <w:tcW w:w="1138" w:type="dxa"/>
            <w:vAlign w:val="center"/>
          </w:tcPr>
          <w:p>
            <w:pPr>
              <w:numPr>
                <w:ilvl w:val="0"/>
                <w:numId w:val="0"/>
              </w:numPr>
              <w:jc w:val="center"/>
              <w:rPr>
                <w:rFonts w:hint="default"/>
                <w:sz w:val="18"/>
                <w:szCs w:val="21"/>
                <w:vertAlign w:val="baseline"/>
                <w:lang w:val="en-US" w:eastAsia="zh-CN"/>
              </w:rPr>
            </w:pPr>
            <w:r>
              <w:rPr>
                <w:rFonts w:hint="eastAsia"/>
                <w:sz w:val="18"/>
                <w:szCs w:val="21"/>
                <w:vertAlign w:val="baseline"/>
                <w:lang w:val="en-US" w:eastAsia="zh-CN"/>
              </w:rPr>
              <w:t>6.4高危建设项目安全设施按照批准的设计设施</w:t>
            </w:r>
          </w:p>
        </w:tc>
        <w:tc>
          <w:tcPr>
            <w:tcW w:w="4966" w:type="dxa"/>
            <w:vAlign w:val="center"/>
          </w:tcPr>
          <w:p>
            <w:p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《安全生产法》第三十四条第一款  矿山、金属冶炼建设项目和用于生产、储存、装卸危险物品的建设项目的施工单位必须按照批准的安全设施设计施工，并对安全设施的工程质量负责。</w:t>
            </w:r>
          </w:p>
        </w:tc>
        <w:tc>
          <w:tcPr>
            <w:tcW w:w="6286" w:type="dxa"/>
            <w:vAlign w:val="center"/>
          </w:tcPr>
          <w:p>
            <w:pPr>
              <w:numPr>
                <w:ilvl w:val="0"/>
                <w:numId w:val="0"/>
              </w:num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《安全生产法》第九十八条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贵任：......</w:t>
            </w:r>
          </w:p>
          <w:p>
            <w:pPr>
              <w:numPr>
                <w:ilvl w:val="0"/>
                <w:numId w:val="0"/>
              </w:numPr>
              <w:ind w:leftChars="0" w:firstLine="360" w:firstLineChars="200"/>
              <w:rPr>
                <w:rFonts w:hint="default"/>
                <w:sz w:val="18"/>
                <w:szCs w:val="21"/>
                <w:vertAlign w:val="baseline"/>
                <w:lang w:val="en-US" w:eastAsia="zh-CN"/>
              </w:rPr>
            </w:pPr>
            <w:r>
              <w:rPr>
                <w:rFonts w:hint="eastAsia"/>
                <w:sz w:val="18"/>
                <w:szCs w:val="21"/>
                <w:vertAlign w:val="baseline"/>
                <w:lang w:val="en-US" w:eastAsia="zh-CN"/>
              </w:rPr>
              <w:t>（三）矿山、金属冶炼建设项目或者用于生产、储存装卸危险物品的建设项目的施工单位未按照批准的安全设施设计施工的。</w:t>
            </w:r>
          </w:p>
        </w:tc>
        <w:tc>
          <w:tcPr>
            <w:tcW w:w="697" w:type="dxa"/>
            <w:vAlign w:val="center"/>
          </w:tcPr>
          <w:p>
            <w:pPr>
              <w:numPr>
                <w:ilvl w:val="0"/>
                <w:numId w:val="0"/>
              </w:numPr>
              <w:jc w:val="center"/>
              <w:rPr>
                <w:rFonts w:hint="default"/>
                <w:sz w:val="21"/>
                <w:szCs w:val="24"/>
                <w:vertAlign w:val="baseline"/>
                <w:lang w:val="en-US" w:eastAsia="zh-CN"/>
              </w:rPr>
            </w:pPr>
          </w:p>
        </w:tc>
        <w:tc>
          <w:tcPr>
            <w:tcW w:w="720" w:type="dxa"/>
            <w:vAlign w:val="center"/>
          </w:tcPr>
          <w:p>
            <w:pPr>
              <w:numPr>
                <w:ilvl w:val="0"/>
                <w:numId w:val="0"/>
              </w:numPr>
              <w:jc w:val="center"/>
              <w:rPr>
                <w:rFonts w:hint="default"/>
                <w:sz w:val="21"/>
                <w:szCs w:val="24"/>
                <w:vertAlign w:val="baseline"/>
                <w:lang w:val="en-US" w:eastAsia="zh-CN"/>
              </w:rPr>
            </w:pPr>
          </w:p>
        </w:tc>
        <w:tc>
          <w:tcPr>
            <w:tcW w:w="493" w:type="dxa"/>
            <w:vAlign w:val="center"/>
          </w:tcPr>
          <w:p>
            <w:pPr>
              <w:numPr>
                <w:ilvl w:val="0"/>
                <w:numId w:val="0"/>
              </w:numPr>
              <w:jc w:val="center"/>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441" w:type="dxa"/>
            <w:vMerge w:val="continue"/>
            <w:vAlign w:val="center"/>
          </w:tcPr>
          <w:p>
            <w:pPr>
              <w:numPr>
                <w:ilvl w:val="0"/>
                <w:numId w:val="0"/>
              </w:numPr>
              <w:jc w:val="center"/>
              <w:rPr>
                <w:rFonts w:hint="eastAsia"/>
                <w:sz w:val="21"/>
                <w:szCs w:val="24"/>
                <w:vertAlign w:val="baseline"/>
                <w:lang w:val="en-US" w:eastAsia="zh-CN"/>
              </w:rPr>
            </w:pPr>
          </w:p>
        </w:tc>
        <w:tc>
          <w:tcPr>
            <w:tcW w:w="659" w:type="dxa"/>
            <w:vMerge w:val="continue"/>
            <w:vAlign w:val="center"/>
          </w:tcPr>
          <w:p>
            <w:pPr>
              <w:numPr>
                <w:ilvl w:val="0"/>
                <w:numId w:val="0"/>
              </w:numPr>
              <w:jc w:val="center"/>
              <w:rPr>
                <w:rFonts w:hint="eastAsia"/>
                <w:sz w:val="18"/>
                <w:szCs w:val="21"/>
                <w:vertAlign w:val="baseline"/>
                <w:lang w:val="en-US" w:eastAsia="zh-CN"/>
              </w:rPr>
            </w:pPr>
          </w:p>
        </w:tc>
        <w:tc>
          <w:tcPr>
            <w:tcW w:w="1138" w:type="dxa"/>
            <w:vAlign w:val="center"/>
          </w:tcPr>
          <w:p>
            <w:pPr>
              <w:numPr>
                <w:ilvl w:val="0"/>
                <w:numId w:val="0"/>
              </w:numPr>
              <w:jc w:val="center"/>
              <w:rPr>
                <w:rFonts w:hint="default"/>
                <w:sz w:val="18"/>
                <w:szCs w:val="21"/>
                <w:vertAlign w:val="baseline"/>
                <w:lang w:val="en-US" w:eastAsia="zh-CN"/>
              </w:rPr>
            </w:pPr>
            <w:r>
              <w:rPr>
                <w:rFonts w:hint="eastAsia"/>
                <w:sz w:val="18"/>
                <w:szCs w:val="21"/>
                <w:vertAlign w:val="baseline"/>
                <w:lang w:val="en-US" w:eastAsia="zh-CN"/>
              </w:rPr>
              <w:t>6.5高危建设项目安全设施竣工验收</w:t>
            </w:r>
          </w:p>
        </w:tc>
        <w:tc>
          <w:tcPr>
            <w:tcW w:w="4966" w:type="dxa"/>
            <w:vAlign w:val="center"/>
          </w:tcPr>
          <w:p>
            <w:p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《安全生产法》第三十四条第二款  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tc>
        <w:tc>
          <w:tcPr>
            <w:tcW w:w="6286" w:type="dxa"/>
            <w:vAlign w:val="center"/>
          </w:tcPr>
          <w:p>
            <w:pPr>
              <w:numPr>
                <w:ilvl w:val="0"/>
                <w:numId w:val="0"/>
              </w:num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《安全生产法》第九十八条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贵任：......</w:t>
            </w:r>
          </w:p>
          <w:p>
            <w:pPr>
              <w:numPr>
                <w:ilvl w:val="0"/>
                <w:numId w:val="0"/>
              </w:numPr>
              <w:ind w:firstLine="180" w:firstLineChars="100"/>
              <w:rPr>
                <w:rFonts w:hint="default"/>
                <w:sz w:val="18"/>
                <w:szCs w:val="21"/>
                <w:vertAlign w:val="baseline"/>
                <w:lang w:val="en-US" w:eastAsia="zh-CN"/>
              </w:rPr>
            </w:pPr>
            <w:r>
              <w:rPr>
                <w:rFonts w:hint="eastAsia"/>
                <w:sz w:val="18"/>
                <w:szCs w:val="21"/>
                <w:vertAlign w:val="baseline"/>
                <w:lang w:val="en-US" w:eastAsia="zh-CN"/>
              </w:rPr>
              <w:t>（四）矿山、金属冶炼建设项目或者用于生产、储存、装卸危险物品的建设项目竣工投入生产或者使用前，安全设施未经验收合格的。</w:t>
            </w:r>
          </w:p>
        </w:tc>
        <w:tc>
          <w:tcPr>
            <w:tcW w:w="697" w:type="dxa"/>
            <w:vAlign w:val="center"/>
          </w:tcPr>
          <w:p>
            <w:pPr>
              <w:numPr>
                <w:ilvl w:val="0"/>
                <w:numId w:val="0"/>
              </w:numPr>
              <w:jc w:val="center"/>
              <w:rPr>
                <w:rFonts w:hint="default"/>
                <w:sz w:val="21"/>
                <w:szCs w:val="24"/>
                <w:vertAlign w:val="baseline"/>
                <w:lang w:val="en-US" w:eastAsia="zh-CN"/>
              </w:rPr>
            </w:pPr>
          </w:p>
        </w:tc>
        <w:tc>
          <w:tcPr>
            <w:tcW w:w="720" w:type="dxa"/>
            <w:vAlign w:val="center"/>
          </w:tcPr>
          <w:p>
            <w:pPr>
              <w:numPr>
                <w:ilvl w:val="0"/>
                <w:numId w:val="0"/>
              </w:numPr>
              <w:jc w:val="center"/>
              <w:rPr>
                <w:rFonts w:hint="default"/>
                <w:sz w:val="21"/>
                <w:szCs w:val="24"/>
                <w:vertAlign w:val="baseline"/>
                <w:lang w:val="en-US" w:eastAsia="zh-CN"/>
              </w:rPr>
            </w:pPr>
          </w:p>
        </w:tc>
        <w:tc>
          <w:tcPr>
            <w:tcW w:w="493" w:type="dxa"/>
            <w:vAlign w:val="center"/>
          </w:tcPr>
          <w:p>
            <w:pPr>
              <w:numPr>
                <w:ilvl w:val="0"/>
                <w:numId w:val="0"/>
              </w:numPr>
              <w:jc w:val="center"/>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5" w:hRule="atLeast"/>
        </w:trPr>
        <w:tc>
          <w:tcPr>
            <w:tcW w:w="441" w:type="dxa"/>
            <w:vMerge w:val="continue"/>
            <w:vAlign w:val="center"/>
          </w:tcPr>
          <w:p>
            <w:pPr>
              <w:numPr>
                <w:ilvl w:val="0"/>
                <w:numId w:val="0"/>
              </w:numPr>
              <w:jc w:val="center"/>
              <w:rPr>
                <w:rFonts w:hint="eastAsia"/>
                <w:sz w:val="21"/>
                <w:szCs w:val="24"/>
                <w:vertAlign w:val="baseline"/>
                <w:lang w:val="en-US" w:eastAsia="zh-CN"/>
              </w:rPr>
            </w:pPr>
          </w:p>
        </w:tc>
        <w:tc>
          <w:tcPr>
            <w:tcW w:w="659" w:type="dxa"/>
            <w:vMerge w:val="continue"/>
            <w:vAlign w:val="center"/>
          </w:tcPr>
          <w:p>
            <w:pPr>
              <w:numPr>
                <w:ilvl w:val="0"/>
                <w:numId w:val="0"/>
              </w:numPr>
              <w:jc w:val="center"/>
              <w:rPr>
                <w:rFonts w:hint="eastAsia"/>
                <w:sz w:val="18"/>
                <w:szCs w:val="21"/>
                <w:vertAlign w:val="baseline"/>
                <w:lang w:val="en-US" w:eastAsia="zh-CN"/>
              </w:rPr>
            </w:pPr>
          </w:p>
        </w:tc>
        <w:tc>
          <w:tcPr>
            <w:tcW w:w="1138" w:type="dxa"/>
            <w:vAlign w:val="center"/>
          </w:tcPr>
          <w:p>
            <w:pPr>
              <w:numPr>
                <w:ilvl w:val="0"/>
                <w:numId w:val="0"/>
              </w:numPr>
              <w:jc w:val="center"/>
              <w:rPr>
                <w:rFonts w:hint="default"/>
                <w:sz w:val="18"/>
                <w:szCs w:val="21"/>
                <w:vertAlign w:val="baseline"/>
                <w:lang w:val="en-US" w:eastAsia="zh-CN"/>
              </w:rPr>
            </w:pPr>
            <w:r>
              <w:rPr>
                <w:rFonts w:hint="eastAsia"/>
                <w:sz w:val="18"/>
                <w:szCs w:val="21"/>
                <w:vertAlign w:val="baseline"/>
                <w:lang w:val="en-US" w:eastAsia="zh-CN"/>
              </w:rPr>
              <w:t>6.6其他建设项目安全设施“三同时”</w:t>
            </w:r>
          </w:p>
        </w:tc>
        <w:tc>
          <w:tcPr>
            <w:tcW w:w="4966" w:type="dxa"/>
            <w:vAlign w:val="center"/>
          </w:tcPr>
          <w:p>
            <w:pPr>
              <w:rPr>
                <w:rFonts w:hint="eastAsia"/>
                <w:sz w:val="18"/>
                <w:szCs w:val="21"/>
                <w:vertAlign w:val="baseline"/>
                <w:lang w:val="en-US" w:eastAsia="zh-CN"/>
              </w:rPr>
            </w:pPr>
            <w:r>
              <w:rPr>
                <w:rFonts w:hint="eastAsia"/>
                <w:sz w:val="18"/>
                <w:szCs w:val="21"/>
                <w:vertAlign w:val="baseline"/>
                <w:lang w:val="en-US" w:eastAsia="zh-CN"/>
              </w:rPr>
              <w:t>《建设项目安全设施“三同时”监督管理办法》第七条下列建设项目在进行可行性研究时,生产经营单位应当按照国家规定,进行安全预评价:</w:t>
            </w:r>
          </w:p>
          <w:p>
            <w:pPr>
              <w:rPr>
                <w:rFonts w:hint="default"/>
                <w:sz w:val="18"/>
                <w:szCs w:val="21"/>
                <w:vertAlign w:val="baseline"/>
                <w:lang w:val="en-US" w:eastAsia="zh-CN"/>
              </w:rPr>
            </w:pPr>
            <w:r>
              <w:rPr>
                <w:rFonts w:hint="eastAsia"/>
                <w:sz w:val="18"/>
                <w:szCs w:val="21"/>
                <w:vertAlign w:val="baseline"/>
                <w:lang w:val="en-US" w:eastAsia="zh-CN"/>
              </w:rPr>
              <w:t>(一)非煤矿矿山建设项目;</w:t>
            </w:r>
          </w:p>
          <w:p>
            <w:pPr>
              <w:rPr>
                <w:rFonts w:hint="default"/>
                <w:sz w:val="18"/>
                <w:szCs w:val="21"/>
                <w:vertAlign w:val="baseline"/>
                <w:lang w:val="en-US" w:eastAsia="zh-CN"/>
              </w:rPr>
            </w:pPr>
            <w:r>
              <w:rPr>
                <w:rFonts w:hint="eastAsia"/>
                <w:sz w:val="18"/>
                <w:szCs w:val="21"/>
                <w:vertAlign w:val="baseline"/>
                <w:lang w:val="en-US" w:eastAsia="zh-CN"/>
              </w:rPr>
              <w:t>(二)生产、储存危险化学品(包括使用长输管道输送危险化学品,下同)的建设项目;</w:t>
            </w:r>
          </w:p>
          <w:p>
            <w:pPr>
              <w:rPr>
                <w:rFonts w:hint="default"/>
                <w:sz w:val="18"/>
                <w:szCs w:val="21"/>
                <w:vertAlign w:val="baseline"/>
                <w:lang w:val="en-US" w:eastAsia="zh-CN"/>
              </w:rPr>
            </w:pPr>
            <w:r>
              <w:rPr>
                <w:rFonts w:hint="eastAsia"/>
                <w:sz w:val="18"/>
                <w:szCs w:val="21"/>
                <w:vertAlign w:val="baseline"/>
                <w:lang w:val="en-US" w:eastAsia="zh-CN"/>
              </w:rPr>
              <w:t>(三)生产、储存烟花爆竹的建设项目;</w:t>
            </w:r>
          </w:p>
          <w:p>
            <w:pPr>
              <w:rPr>
                <w:rFonts w:hint="default"/>
                <w:sz w:val="18"/>
                <w:szCs w:val="21"/>
                <w:vertAlign w:val="baseline"/>
                <w:lang w:val="en-US" w:eastAsia="zh-CN"/>
              </w:rPr>
            </w:pPr>
            <w:r>
              <w:rPr>
                <w:rFonts w:hint="eastAsia"/>
                <w:sz w:val="18"/>
                <w:szCs w:val="21"/>
                <w:vertAlign w:val="baseline"/>
                <w:lang w:val="en-US" w:eastAsia="zh-CN"/>
              </w:rPr>
              <w:t>(四)金属冶炼建设项目;</w:t>
            </w:r>
          </w:p>
          <w:p>
            <w:pPr>
              <w:rPr>
                <w:rFonts w:hint="default"/>
                <w:sz w:val="18"/>
                <w:szCs w:val="21"/>
                <w:vertAlign w:val="baseline"/>
                <w:lang w:val="en-US" w:eastAsia="zh-CN"/>
              </w:rPr>
            </w:pPr>
            <w:r>
              <w:rPr>
                <w:rFonts w:hint="eastAsia"/>
                <w:sz w:val="18"/>
                <w:szCs w:val="21"/>
                <w:vertAlign w:val="baseline"/>
                <w:lang w:val="en-US" w:eastAsia="zh-CN"/>
              </w:rPr>
              <w:t>(五)使用危险化学品从事生产并且使用量达到规定数量的化工建设项目(属于危险化学品生产的除外,下同);</w:t>
            </w:r>
          </w:p>
          <w:p>
            <w:pPr>
              <w:rPr>
                <w:rFonts w:hint="eastAsia"/>
                <w:sz w:val="18"/>
                <w:szCs w:val="21"/>
                <w:vertAlign w:val="baseline"/>
                <w:lang w:val="en-US" w:eastAsia="zh-CN"/>
              </w:rPr>
            </w:pPr>
            <w:r>
              <w:rPr>
                <w:rFonts w:hint="eastAsia"/>
                <w:sz w:val="18"/>
                <w:szCs w:val="21"/>
                <w:vertAlign w:val="baseline"/>
                <w:lang w:val="en-US" w:eastAsia="zh-CN"/>
              </w:rPr>
              <w:t>(六)法律、行政法规和国务院规定的其他建设项目。</w:t>
            </w:r>
          </w:p>
        </w:tc>
        <w:tc>
          <w:tcPr>
            <w:tcW w:w="6286" w:type="dxa"/>
            <w:vAlign w:val="center"/>
          </w:tcPr>
          <w:p>
            <w:pPr>
              <w:numPr>
                <w:ilvl w:val="0"/>
                <w:numId w:val="0"/>
              </w:numPr>
              <w:ind w:firstLine="360" w:firstLineChars="200"/>
              <w:rPr>
                <w:rFonts w:hint="eastAsia"/>
                <w:sz w:val="18"/>
                <w:szCs w:val="21"/>
                <w:vertAlign w:val="baseline"/>
                <w:lang w:val="en-US" w:eastAsia="zh-CN"/>
              </w:rPr>
            </w:pPr>
            <w:r>
              <w:rPr>
                <w:rFonts w:hint="eastAsia"/>
                <w:sz w:val="18"/>
                <w:szCs w:val="21"/>
                <w:vertAlign w:val="baseline"/>
                <w:lang w:val="en-US" w:eastAsia="zh-CN"/>
              </w:rPr>
              <w:t>《建设项目安全设施“三同时”监督管理办法》第三十条本办法第七条第(一)项、第(二)项、第(三)项和第(四)项规定以外的建设项目有下列情形之一的，对有关生产经营单位责令限期改正，可以并处5000元以上3万元以下的罚款：</w:t>
            </w:r>
          </w:p>
          <w:p>
            <w:pPr>
              <w:numPr>
                <w:ilvl w:val="0"/>
                <w:numId w:val="4"/>
              </w:numPr>
              <w:ind w:firstLine="180" w:firstLineChars="100"/>
              <w:rPr>
                <w:rFonts w:hint="eastAsia"/>
                <w:sz w:val="18"/>
                <w:szCs w:val="21"/>
                <w:vertAlign w:val="baseline"/>
                <w:lang w:val="en-US" w:eastAsia="zh-CN"/>
              </w:rPr>
            </w:pPr>
            <w:r>
              <w:rPr>
                <w:rFonts w:hint="eastAsia"/>
                <w:sz w:val="18"/>
                <w:szCs w:val="21"/>
                <w:vertAlign w:val="baseline"/>
                <w:lang w:val="en-US" w:eastAsia="zh-CN"/>
              </w:rPr>
              <w:t>没有安全设施设计的；</w:t>
            </w:r>
          </w:p>
          <w:p>
            <w:pPr>
              <w:numPr>
                <w:ilvl w:val="0"/>
                <w:numId w:val="4"/>
              </w:numPr>
              <w:ind w:firstLine="180" w:firstLineChars="100"/>
              <w:rPr>
                <w:rFonts w:hint="eastAsia"/>
                <w:sz w:val="18"/>
                <w:szCs w:val="21"/>
                <w:vertAlign w:val="baseline"/>
                <w:lang w:val="en-US" w:eastAsia="zh-CN"/>
              </w:rPr>
            </w:pPr>
            <w:r>
              <w:rPr>
                <w:rFonts w:hint="eastAsia"/>
                <w:sz w:val="18"/>
                <w:szCs w:val="21"/>
                <w:vertAlign w:val="baseline"/>
                <w:lang w:val="en-US" w:eastAsia="zh-CN"/>
              </w:rPr>
              <w:t>安全设施设计未组织审查、并形成书面审查报告的；</w:t>
            </w:r>
          </w:p>
          <w:p>
            <w:pPr>
              <w:numPr>
                <w:ilvl w:val="0"/>
                <w:numId w:val="4"/>
              </w:numPr>
              <w:ind w:firstLine="180" w:firstLineChars="100"/>
              <w:rPr>
                <w:rFonts w:hint="eastAsia"/>
                <w:sz w:val="18"/>
                <w:szCs w:val="21"/>
                <w:vertAlign w:val="baseline"/>
                <w:lang w:val="en-US" w:eastAsia="zh-CN"/>
              </w:rPr>
            </w:pPr>
            <w:r>
              <w:rPr>
                <w:rFonts w:hint="eastAsia"/>
                <w:sz w:val="18"/>
                <w:szCs w:val="21"/>
                <w:vertAlign w:val="baseline"/>
                <w:lang w:val="en-US" w:eastAsia="zh-CN"/>
              </w:rPr>
              <w:t>施工单位未按照安全设施设计施工的；</w:t>
            </w:r>
          </w:p>
          <w:p>
            <w:pPr>
              <w:numPr>
                <w:ilvl w:val="0"/>
                <w:numId w:val="4"/>
              </w:numPr>
              <w:ind w:firstLine="180" w:firstLineChars="100"/>
              <w:rPr>
                <w:rFonts w:hint="eastAsia"/>
                <w:sz w:val="18"/>
                <w:szCs w:val="21"/>
                <w:vertAlign w:val="baseline"/>
                <w:lang w:val="en-US" w:eastAsia="zh-CN"/>
              </w:rPr>
            </w:pPr>
            <w:r>
              <w:rPr>
                <w:rFonts w:hint="eastAsia"/>
                <w:sz w:val="18"/>
                <w:szCs w:val="21"/>
                <w:vertAlign w:val="baseline"/>
                <w:lang w:val="en-US" w:eastAsia="zh-CN"/>
              </w:rPr>
              <w:t>投入生产或者使用前，安全设施未经竣工验收合格，并形成书面报告的。</w:t>
            </w:r>
          </w:p>
        </w:tc>
        <w:tc>
          <w:tcPr>
            <w:tcW w:w="697" w:type="dxa"/>
            <w:vAlign w:val="center"/>
          </w:tcPr>
          <w:p>
            <w:pPr>
              <w:numPr>
                <w:ilvl w:val="0"/>
                <w:numId w:val="0"/>
              </w:numPr>
              <w:jc w:val="center"/>
              <w:rPr>
                <w:rFonts w:hint="default"/>
                <w:sz w:val="21"/>
                <w:szCs w:val="24"/>
                <w:vertAlign w:val="baseline"/>
                <w:lang w:val="en-US" w:eastAsia="zh-CN"/>
              </w:rPr>
            </w:pPr>
          </w:p>
        </w:tc>
        <w:tc>
          <w:tcPr>
            <w:tcW w:w="720" w:type="dxa"/>
            <w:vAlign w:val="center"/>
          </w:tcPr>
          <w:p>
            <w:pPr>
              <w:numPr>
                <w:ilvl w:val="0"/>
                <w:numId w:val="0"/>
              </w:numPr>
              <w:jc w:val="center"/>
              <w:rPr>
                <w:rFonts w:hint="default"/>
                <w:sz w:val="21"/>
                <w:szCs w:val="24"/>
                <w:vertAlign w:val="baseline"/>
                <w:lang w:val="en-US" w:eastAsia="zh-CN"/>
              </w:rPr>
            </w:pPr>
          </w:p>
        </w:tc>
        <w:tc>
          <w:tcPr>
            <w:tcW w:w="493" w:type="dxa"/>
            <w:vAlign w:val="center"/>
          </w:tcPr>
          <w:p>
            <w:pPr>
              <w:numPr>
                <w:ilvl w:val="0"/>
                <w:numId w:val="0"/>
              </w:numPr>
              <w:jc w:val="center"/>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441" w:type="dxa"/>
            <w:vAlign w:val="center"/>
          </w:tcPr>
          <w:p>
            <w:pPr>
              <w:numPr>
                <w:ilvl w:val="0"/>
                <w:numId w:val="0"/>
              </w:numPr>
              <w:jc w:val="center"/>
              <w:rPr>
                <w:rFonts w:hint="default"/>
                <w:sz w:val="21"/>
                <w:szCs w:val="24"/>
                <w:vertAlign w:val="baseline"/>
                <w:lang w:val="en-US" w:eastAsia="zh-CN"/>
              </w:rPr>
            </w:pPr>
            <w:r>
              <w:rPr>
                <w:rFonts w:hint="eastAsia"/>
                <w:sz w:val="21"/>
                <w:szCs w:val="24"/>
                <w:vertAlign w:val="baseline"/>
                <w:lang w:val="en-US" w:eastAsia="zh-CN"/>
              </w:rPr>
              <w:t>7</w:t>
            </w:r>
          </w:p>
        </w:tc>
        <w:tc>
          <w:tcPr>
            <w:tcW w:w="659" w:type="dxa"/>
            <w:vAlign w:val="center"/>
          </w:tcPr>
          <w:p>
            <w:pPr>
              <w:numPr>
                <w:ilvl w:val="0"/>
                <w:numId w:val="0"/>
              </w:numPr>
              <w:jc w:val="center"/>
              <w:rPr>
                <w:rFonts w:hint="eastAsia"/>
                <w:sz w:val="18"/>
                <w:szCs w:val="21"/>
                <w:vertAlign w:val="baseline"/>
                <w:lang w:val="en-US" w:eastAsia="zh-CN"/>
              </w:rPr>
            </w:pPr>
            <w:r>
              <w:rPr>
                <w:rFonts w:hint="eastAsia"/>
                <w:sz w:val="18"/>
                <w:szCs w:val="21"/>
                <w:vertAlign w:val="baseline"/>
                <w:lang w:val="en-US" w:eastAsia="zh-CN"/>
              </w:rPr>
              <w:t>安全警示标志情况</w:t>
            </w:r>
          </w:p>
        </w:tc>
        <w:tc>
          <w:tcPr>
            <w:tcW w:w="1138" w:type="dxa"/>
            <w:vAlign w:val="center"/>
          </w:tcPr>
          <w:p>
            <w:pPr>
              <w:numPr>
                <w:ilvl w:val="0"/>
                <w:numId w:val="0"/>
              </w:numPr>
              <w:jc w:val="center"/>
              <w:rPr>
                <w:rFonts w:hint="eastAsia"/>
                <w:sz w:val="18"/>
                <w:szCs w:val="21"/>
                <w:vertAlign w:val="baseline"/>
                <w:lang w:val="en-US" w:eastAsia="zh-CN"/>
              </w:rPr>
            </w:pPr>
            <w:r>
              <w:rPr>
                <w:rFonts w:hint="eastAsia"/>
                <w:sz w:val="18"/>
                <w:szCs w:val="21"/>
                <w:vertAlign w:val="baseline"/>
                <w:lang w:val="en-US" w:eastAsia="zh-CN"/>
              </w:rPr>
              <w:t>在有较大危险因素的场所和有关设施、设备上设置安全警示标志</w:t>
            </w:r>
          </w:p>
        </w:tc>
        <w:tc>
          <w:tcPr>
            <w:tcW w:w="4966" w:type="dxa"/>
            <w:vAlign w:val="center"/>
          </w:tcPr>
          <w:p>
            <w:p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《安全生产法》第三十五条  生产经营单位应当在有较大危险因素的生产经营场所和有关设施、设备上，设置明显的安全警示标志。</w:t>
            </w:r>
          </w:p>
        </w:tc>
        <w:tc>
          <w:tcPr>
            <w:tcW w:w="6286" w:type="dxa"/>
            <w:vAlign w:val="center"/>
          </w:tcPr>
          <w:p>
            <w:pPr>
              <w:numPr>
                <w:ilvl w:val="0"/>
                <w:numId w:val="0"/>
              </w:num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numPr>
                <w:ilvl w:val="0"/>
                <w:numId w:val="0"/>
              </w:numPr>
              <w:ind w:firstLine="180" w:firstLineChars="100"/>
              <w:rPr>
                <w:rFonts w:hint="default"/>
                <w:sz w:val="18"/>
                <w:szCs w:val="21"/>
                <w:vertAlign w:val="baseline"/>
                <w:lang w:val="en-US" w:eastAsia="zh-CN"/>
              </w:rPr>
            </w:pPr>
            <w:r>
              <w:rPr>
                <w:rFonts w:hint="eastAsia"/>
                <w:sz w:val="18"/>
                <w:szCs w:val="21"/>
                <w:vertAlign w:val="baseline"/>
                <w:lang w:val="en-US" w:eastAsia="zh-CN"/>
              </w:rPr>
              <w:t xml:space="preserve"> （一）未在有较大危险因素的生产经营场所和有关设施、设备上设置明显的安全警示标志的；......</w:t>
            </w:r>
          </w:p>
        </w:tc>
        <w:tc>
          <w:tcPr>
            <w:tcW w:w="697" w:type="dxa"/>
            <w:vAlign w:val="center"/>
          </w:tcPr>
          <w:p>
            <w:pPr>
              <w:numPr>
                <w:ilvl w:val="0"/>
                <w:numId w:val="0"/>
              </w:numPr>
              <w:jc w:val="center"/>
              <w:rPr>
                <w:rFonts w:hint="default"/>
                <w:sz w:val="21"/>
                <w:szCs w:val="24"/>
                <w:vertAlign w:val="baseline"/>
                <w:lang w:val="en-US" w:eastAsia="zh-CN"/>
              </w:rPr>
            </w:pPr>
          </w:p>
        </w:tc>
        <w:tc>
          <w:tcPr>
            <w:tcW w:w="720" w:type="dxa"/>
            <w:vAlign w:val="center"/>
          </w:tcPr>
          <w:p>
            <w:pPr>
              <w:numPr>
                <w:ilvl w:val="0"/>
                <w:numId w:val="0"/>
              </w:numPr>
              <w:jc w:val="center"/>
              <w:rPr>
                <w:rFonts w:hint="default"/>
                <w:sz w:val="21"/>
                <w:szCs w:val="24"/>
                <w:vertAlign w:val="baseline"/>
                <w:lang w:val="en-US" w:eastAsia="zh-CN"/>
              </w:rPr>
            </w:pPr>
          </w:p>
        </w:tc>
        <w:tc>
          <w:tcPr>
            <w:tcW w:w="493" w:type="dxa"/>
            <w:vAlign w:val="center"/>
          </w:tcPr>
          <w:p>
            <w:pPr>
              <w:numPr>
                <w:ilvl w:val="0"/>
                <w:numId w:val="0"/>
              </w:numPr>
              <w:jc w:val="center"/>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441" w:type="dxa"/>
            <w:vMerge w:val="restart"/>
            <w:vAlign w:val="center"/>
          </w:tcPr>
          <w:p>
            <w:pPr>
              <w:numPr>
                <w:ilvl w:val="0"/>
                <w:numId w:val="0"/>
              </w:numPr>
              <w:jc w:val="center"/>
              <w:rPr>
                <w:rFonts w:hint="default"/>
                <w:sz w:val="21"/>
                <w:szCs w:val="24"/>
                <w:vertAlign w:val="baseline"/>
                <w:lang w:val="en-US" w:eastAsia="zh-CN"/>
              </w:rPr>
            </w:pPr>
            <w:r>
              <w:rPr>
                <w:rFonts w:hint="eastAsia"/>
                <w:sz w:val="21"/>
                <w:szCs w:val="24"/>
                <w:vertAlign w:val="baseline"/>
                <w:lang w:val="en-US" w:eastAsia="zh-CN"/>
              </w:rPr>
              <w:t>8</w:t>
            </w:r>
          </w:p>
        </w:tc>
        <w:tc>
          <w:tcPr>
            <w:tcW w:w="659" w:type="dxa"/>
            <w:vMerge w:val="restart"/>
            <w:vAlign w:val="center"/>
          </w:tcPr>
          <w:p>
            <w:pPr>
              <w:numPr>
                <w:ilvl w:val="0"/>
                <w:numId w:val="0"/>
              </w:numPr>
              <w:jc w:val="center"/>
              <w:rPr>
                <w:rFonts w:hint="eastAsia"/>
                <w:sz w:val="18"/>
                <w:szCs w:val="21"/>
                <w:vertAlign w:val="baseline"/>
                <w:lang w:val="en-US" w:eastAsia="zh-CN"/>
              </w:rPr>
            </w:pPr>
            <w:r>
              <w:rPr>
                <w:rFonts w:hint="eastAsia"/>
                <w:sz w:val="18"/>
                <w:szCs w:val="21"/>
                <w:vertAlign w:val="baseline"/>
                <w:lang w:val="en-US" w:eastAsia="zh-CN"/>
              </w:rPr>
              <w:t>安全设备情况</w:t>
            </w:r>
          </w:p>
        </w:tc>
        <w:tc>
          <w:tcPr>
            <w:tcW w:w="1138" w:type="dxa"/>
            <w:vAlign w:val="center"/>
          </w:tcPr>
          <w:p>
            <w:pPr>
              <w:numPr>
                <w:ilvl w:val="0"/>
                <w:numId w:val="0"/>
              </w:numPr>
              <w:jc w:val="center"/>
              <w:rPr>
                <w:rFonts w:hint="default"/>
                <w:sz w:val="18"/>
                <w:szCs w:val="21"/>
                <w:vertAlign w:val="baseline"/>
                <w:lang w:val="en-US" w:eastAsia="zh-CN"/>
              </w:rPr>
            </w:pPr>
            <w:r>
              <w:rPr>
                <w:rFonts w:hint="eastAsia"/>
                <w:sz w:val="18"/>
                <w:szCs w:val="21"/>
                <w:vertAlign w:val="baseline"/>
                <w:lang w:val="en-US" w:eastAsia="zh-CN"/>
              </w:rPr>
              <w:t>8.1安全设备安装、使用、报废</w:t>
            </w:r>
          </w:p>
        </w:tc>
        <w:tc>
          <w:tcPr>
            <w:tcW w:w="4966" w:type="dxa"/>
            <w:vAlign w:val="center"/>
          </w:tcPr>
          <w:p>
            <w:p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《安全生产法》第三十六条第一款  安全设备的设计、制造、安装、使用、检测、维修、改造和报废，应当符合国家标准或者行业标准。</w:t>
            </w:r>
          </w:p>
        </w:tc>
        <w:tc>
          <w:tcPr>
            <w:tcW w:w="6286" w:type="dxa"/>
            <w:vAlign w:val="center"/>
          </w:tcPr>
          <w:p>
            <w:pPr>
              <w:numPr>
                <w:ilvl w:val="0"/>
                <w:numId w:val="0"/>
              </w:num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numPr>
                <w:ilvl w:val="0"/>
                <w:numId w:val="0"/>
              </w:numPr>
              <w:ind w:firstLine="180" w:firstLineChars="100"/>
              <w:rPr>
                <w:rFonts w:hint="default"/>
                <w:sz w:val="18"/>
                <w:szCs w:val="21"/>
                <w:vertAlign w:val="baseline"/>
                <w:lang w:val="en-US" w:eastAsia="zh-CN"/>
              </w:rPr>
            </w:pPr>
            <w:r>
              <w:rPr>
                <w:rFonts w:hint="eastAsia"/>
                <w:sz w:val="18"/>
                <w:szCs w:val="21"/>
                <w:vertAlign w:val="baseline"/>
                <w:lang w:val="en-US" w:eastAsia="zh-CN"/>
              </w:rPr>
              <w:t>（二）安全设备的安装、使用、检测、改造和报废不符合国家标准或者行业标准的；......</w:t>
            </w:r>
          </w:p>
        </w:tc>
        <w:tc>
          <w:tcPr>
            <w:tcW w:w="697" w:type="dxa"/>
            <w:vAlign w:val="center"/>
          </w:tcPr>
          <w:p>
            <w:pPr>
              <w:numPr>
                <w:ilvl w:val="0"/>
                <w:numId w:val="0"/>
              </w:numPr>
              <w:jc w:val="center"/>
              <w:rPr>
                <w:rFonts w:hint="default"/>
                <w:sz w:val="21"/>
                <w:szCs w:val="24"/>
                <w:vertAlign w:val="baseline"/>
                <w:lang w:val="en-US" w:eastAsia="zh-CN"/>
              </w:rPr>
            </w:pPr>
          </w:p>
        </w:tc>
        <w:tc>
          <w:tcPr>
            <w:tcW w:w="720" w:type="dxa"/>
            <w:vAlign w:val="center"/>
          </w:tcPr>
          <w:p>
            <w:pPr>
              <w:numPr>
                <w:ilvl w:val="0"/>
                <w:numId w:val="0"/>
              </w:numPr>
              <w:jc w:val="center"/>
              <w:rPr>
                <w:rFonts w:hint="default"/>
                <w:sz w:val="21"/>
                <w:szCs w:val="24"/>
                <w:vertAlign w:val="baseline"/>
                <w:lang w:val="en-US" w:eastAsia="zh-CN"/>
              </w:rPr>
            </w:pPr>
          </w:p>
        </w:tc>
        <w:tc>
          <w:tcPr>
            <w:tcW w:w="493" w:type="dxa"/>
            <w:vAlign w:val="center"/>
          </w:tcPr>
          <w:p>
            <w:pPr>
              <w:numPr>
                <w:ilvl w:val="0"/>
                <w:numId w:val="0"/>
              </w:numPr>
              <w:jc w:val="center"/>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441" w:type="dxa"/>
            <w:vMerge w:val="continue"/>
            <w:vAlign w:val="center"/>
          </w:tcPr>
          <w:p>
            <w:pPr>
              <w:numPr>
                <w:ilvl w:val="0"/>
                <w:numId w:val="0"/>
              </w:numPr>
              <w:jc w:val="center"/>
              <w:rPr>
                <w:rFonts w:hint="default"/>
                <w:sz w:val="21"/>
                <w:szCs w:val="24"/>
                <w:vertAlign w:val="baseline"/>
                <w:lang w:val="en-US" w:eastAsia="zh-CN"/>
              </w:rPr>
            </w:pPr>
          </w:p>
        </w:tc>
        <w:tc>
          <w:tcPr>
            <w:tcW w:w="659" w:type="dxa"/>
            <w:vMerge w:val="continue"/>
            <w:vAlign w:val="center"/>
          </w:tcPr>
          <w:p>
            <w:pPr>
              <w:numPr>
                <w:ilvl w:val="0"/>
                <w:numId w:val="0"/>
              </w:numPr>
              <w:jc w:val="center"/>
              <w:rPr>
                <w:rFonts w:hint="eastAsia"/>
                <w:sz w:val="18"/>
                <w:szCs w:val="21"/>
                <w:vertAlign w:val="baseline"/>
                <w:lang w:val="en-US" w:eastAsia="zh-CN"/>
              </w:rPr>
            </w:pPr>
          </w:p>
        </w:tc>
        <w:tc>
          <w:tcPr>
            <w:tcW w:w="1138" w:type="dxa"/>
            <w:vAlign w:val="center"/>
          </w:tcPr>
          <w:p>
            <w:pPr>
              <w:numPr>
                <w:ilvl w:val="0"/>
                <w:numId w:val="0"/>
              </w:numPr>
              <w:jc w:val="center"/>
              <w:rPr>
                <w:rFonts w:hint="default"/>
                <w:sz w:val="18"/>
                <w:szCs w:val="21"/>
                <w:vertAlign w:val="baseline"/>
                <w:lang w:val="en-US" w:eastAsia="zh-CN"/>
              </w:rPr>
            </w:pPr>
            <w:r>
              <w:rPr>
                <w:rFonts w:hint="eastAsia"/>
                <w:sz w:val="18"/>
                <w:szCs w:val="21"/>
                <w:vertAlign w:val="baseline"/>
                <w:lang w:val="en-US" w:eastAsia="zh-CN"/>
              </w:rPr>
              <w:t>8.2安全设备维护、保养、检测</w:t>
            </w:r>
          </w:p>
        </w:tc>
        <w:tc>
          <w:tcPr>
            <w:tcW w:w="4966" w:type="dxa"/>
            <w:vAlign w:val="center"/>
          </w:tcPr>
          <w:p>
            <w:p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《安全生产法》第三十六条第二款  生产经营单位必须对安全设备进行经常性维护、保养，并定期检测，保证正常运转。维护、保养、检测应当作好记录，并由有关人员签字。</w:t>
            </w:r>
          </w:p>
        </w:tc>
        <w:tc>
          <w:tcPr>
            <w:tcW w:w="6286" w:type="dxa"/>
            <w:vAlign w:val="center"/>
          </w:tcPr>
          <w:p>
            <w:pPr>
              <w:numPr>
                <w:ilvl w:val="0"/>
                <w:numId w:val="0"/>
              </w:num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numPr>
                <w:ilvl w:val="0"/>
                <w:numId w:val="0"/>
              </w:numPr>
              <w:ind w:firstLine="180" w:firstLineChars="100"/>
              <w:rPr>
                <w:rFonts w:hint="default"/>
                <w:sz w:val="18"/>
                <w:szCs w:val="21"/>
                <w:vertAlign w:val="baseline"/>
                <w:lang w:val="en-US" w:eastAsia="zh-CN"/>
              </w:rPr>
            </w:pPr>
            <w:r>
              <w:rPr>
                <w:rFonts w:hint="eastAsia"/>
                <w:sz w:val="18"/>
                <w:szCs w:val="21"/>
                <w:vertAlign w:val="baseline"/>
                <w:lang w:val="en-US" w:eastAsia="zh-CN"/>
              </w:rPr>
              <w:t>（三）未对安全设备进行经常性维护、保养和定期检测的；......</w:t>
            </w:r>
          </w:p>
        </w:tc>
        <w:tc>
          <w:tcPr>
            <w:tcW w:w="697" w:type="dxa"/>
            <w:vAlign w:val="center"/>
          </w:tcPr>
          <w:p>
            <w:pPr>
              <w:numPr>
                <w:ilvl w:val="0"/>
                <w:numId w:val="0"/>
              </w:numPr>
              <w:jc w:val="center"/>
              <w:rPr>
                <w:rFonts w:hint="default"/>
                <w:sz w:val="21"/>
                <w:szCs w:val="24"/>
                <w:vertAlign w:val="baseline"/>
                <w:lang w:val="en-US" w:eastAsia="zh-CN"/>
              </w:rPr>
            </w:pPr>
          </w:p>
        </w:tc>
        <w:tc>
          <w:tcPr>
            <w:tcW w:w="720" w:type="dxa"/>
            <w:vAlign w:val="center"/>
          </w:tcPr>
          <w:p>
            <w:pPr>
              <w:numPr>
                <w:ilvl w:val="0"/>
                <w:numId w:val="0"/>
              </w:numPr>
              <w:jc w:val="center"/>
              <w:rPr>
                <w:rFonts w:hint="default"/>
                <w:sz w:val="21"/>
                <w:szCs w:val="24"/>
                <w:vertAlign w:val="baseline"/>
                <w:lang w:val="en-US" w:eastAsia="zh-CN"/>
              </w:rPr>
            </w:pPr>
          </w:p>
        </w:tc>
        <w:tc>
          <w:tcPr>
            <w:tcW w:w="493" w:type="dxa"/>
            <w:vAlign w:val="center"/>
          </w:tcPr>
          <w:p>
            <w:pPr>
              <w:numPr>
                <w:ilvl w:val="0"/>
                <w:numId w:val="0"/>
              </w:numPr>
              <w:jc w:val="center"/>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41"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21"/>
                <w:szCs w:val="24"/>
                <w:vertAlign w:val="baseline"/>
                <w:lang w:val="en-US" w:eastAsia="zh-CN" w:bidi="ar-SA"/>
              </w:rPr>
            </w:pPr>
            <w:r>
              <w:rPr>
                <w:rFonts w:hint="eastAsia"/>
                <w:sz w:val="21"/>
                <w:szCs w:val="24"/>
                <w:vertAlign w:val="baseline"/>
                <w:lang w:val="en-US" w:eastAsia="zh-CN"/>
              </w:rPr>
              <w:t>9</w:t>
            </w:r>
          </w:p>
        </w:tc>
        <w:tc>
          <w:tcPr>
            <w:tcW w:w="659" w:type="dxa"/>
            <w:vAlign w:val="center"/>
          </w:tcPr>
          <w:p>
            <w:pPr>
              <w:numPr>
                <w:ilvl w:val="0"/>
                <w:numId w:val="0"/>
              </w:numPr>
              <w:ind w:left="0" w:leftChars="0" w:firstLine="0" w:firstLineChars="0"/>
              <w:jc w:val="center"/>
              <w:rPr>
                <w:rFonts w:hint="eastAsia" w:asciiTheme="minorHAnsi" w:hAnsiTheme="minorHAnsi" w:eastAsiaTheme="minorEastAsia" w:cstheme="minorBidi"/>
                <w:kern w:val="2"/>
                <w:sz w:val="18"/>
                <w:szCs w:val="21"/>
                <w:vertAlign w:val="baseline"/>
                <w:lang w:val="en-US" w:eastAsia="zh-CN" w:bidi="ar-SA"/>
              </w:rPr>
            </w:pPr>
            <w:r>
              <w:rPr>
                <w:rFonts w:hint="eastAsia"/>
                <w:sz w:val="18"/>
                <w:szCs w:val="21"/>
                <w:vertAlign w:val="baseline"/>
                <w:lang w:val="en-US" w:eastAsia="zh-CN"/>
              </w:rPr>
              <w:t>重大危险源安全管理情况</w:t>
            </w:r>
          </w:p>
        </w:tc>
        <w:tc>
          <w:tcPr>
            <w:tcW w:w="1138" w:type="dxa"/>
            <w:vAlign w:val="center"/>
          </w:tcPr>
          <w:p>
            <w:pPr>
              <w:numPr>
                <w:ilvl w:val="0"/>
                <w:numId w:val="0"/>
              </w:numPr>
              <w:jc w:val="left"/>
              <w:rPr>
                <w:rFonts w:hint="eastAsia"/>
                <w:sz w:val="18"/>
                <w:szCs w:val="21"/>
                <w:vertAlign w:val="baseline"/>
                <w:lang w:val="en-US" w:eastAsia="zh-CN"/>
              </w:rPr>
            </w:pPr>
            <w:r>
              <w:rPr>
                <w:rFonts w:hint="eastAsia"/>
                <w:sz w:val="18"/>
                <w:szCs w:val="21"/>
                <w:vertAlign w:val="baseline"/>
                <w:lang w:val="en-US" w:eastAsia="zh-CN"/>
              </w:rPr>
              <w:t>重大危险源登记建档，定期检测、评估、监控，制定应急预案</w:t>
            </w:r>
          </w:p>
        </w:tc>
        <w:tc>
          <w:tcPr>
            <w:tcW w:w="4966" w:type="dxa"/>
            <w:vAlign w:val="center"/>
          </w:tcPr>
          <w:p>
            <w:p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《安全生产法》第四十条  生产经营单位对重大危险源应当登记建档，进行定期检测、评估、监控，并制定应急预案，告知从业人员和相关入员在紧急情况下应当采取的应急措施。</w:t>
            </w:r>
          </w:p>
        </w:tc>
        <w:tc>
          <w:tcPr>
            <w:tcW w:w="6286" w:type="dxa"/>
            <w:vAlign w:val="center"/>
          </w:tcPr>
          <w:p>
            <w:pPr>
              <w:numPr>
                <w:ilvl w:val="0"/>
                <w:numId w:val="0"/>
              </w:num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《安全生产法》第一百零一条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numPr>
                <w:ilvl w:val="0"/>
                <w:numId w:val="0"/>
              </w:numPr>
              <w:ind w:firstLine="180" w:firstLineChars="100"/>
              <w:rPr>
                <w:rFonts w:hint="default"/>
                <w:sz w:val="18"/>
                <w:szCs w:val="21"/>
                <w:vertAlign w:val="baseline"/>
                <w:lang w:val="en-US" w:eastAsia="zh-CN"/>
              </w:rPr>
            </w:pPr>
            <w:r>
              <w:rPr>
                <w:rFonts w:hint="eastAsia"/>
                <w:sz w:val="18"/>
                <w:szCs w:val="21"/>
                <w:vertAlign w:val="baseline"/>
                <w:lang w:val="en-US" w:eastAsia="zh-CN"/>
              </w:rPr>
              <w:t>（二）对重大危险源未登记建档，未进行定期检测、评估、监控，未制定应急预案，或者未告知应急措施的；.........</w:t>
            </w:r>
          </w:p>
        </w:tc>
        <w:tc>
          <w:tcPr>
            <w:tcW w:w="697" w:type="dxa"/>
            <w:vAlign w:val="center"/>
          </w:tcPr>
          <w:p>
            <w:pPr>
              <w:numPr>
                <w:ilvl w:val="0"/>
                <w:numId w:val="0"/>
              </w:numPr>
              <w:jc w:val="center"/>
              <w:rPr>
                <w:rFonts w:hint="default"/>
                <w:sz w:val="21"/>
                <w:szCs w:val="24"/>
                <w:vertAlign w:val="baseline"/>
                <w:lang w:val="en-US" w:eastAsia="zh-CN"/>
              </w:rPr>
            </w:pPr>
          </w:p>
        </w:tc>
        <w:tc>
          <w:tcPr>
            <w:tcW w:w="720" w:type="dxa"/>
            <w:vAlign w:val="center"/>
          </w:tcPr>
          <w:p>
            <w:pPr>
              <w:numPr>
                <w:ilvl w:val="0"/>
                <w:numId w:val="0"/>
              </w:numPr>
              <w:jc w:val="center"/>
              <w:rPr>
                <w:rFonts w:hint="default"/>
                <w:sz w:val="21"/>
                <w:szCs w:val="24"/>
                <w:vertAlign w:val="baseline"/>
                <w:lang w:val="en-US" w:eastAsia="zh-CN"/>
              </w:rPr>
            </w:pPr>
          </w:p>
        </w:tc>
        <w:tc>
          <w:tcPr>
            <w:tcW w:w="493" w:type="dxa"/>
            <w:vAlign w:val="center"/>
          </w:tcPr>
          <w:p>
            <w:pPr>
              <w:numPr>
                <w:ilvl w:val="0"/>
                <w:numId w:val="0"/>
              </w:numPr>
              <w:jc w:val="center"/>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441" w:type="dxa"/>
            <w:vMerge w:val="restart"/>
            <w:vAlign w:val="center"/>
          </w:tcPr>
          <w:p>
            <w:pPr>
              <w:numPr>
                <w:ilvl w:val="0"/>
                <w:numId w:val="0"/>
              </w:numPr>
              <w:ind w:left="0" w:leftChars="0" w:firstLine="0" w:firstLineChars="0"/>
              <w:jc w:val="center"/>
              <w:rPr>
                <w:rFonts w:hint="eastAsia" w:asciiTheme="minorHAnsi" w:hAnsiTheme="minorHAnsi" w:eastAsiaTheme="minorEastAsia" w:cstheme="minorBidi"/>
                <w:kern w:val="2"/>
                <w:sz w:val="21"/>
                <w:szCs w:val="24"/>
                <w:vertAlign w:val="baseline"/>
                <w:lang w:val="en-US" w:eastAsia="zh-CN" w:bidi="ar-SA"/>
              </w:rPr>
            </w:pPr>
            <w:r>
              <w:rPr>
                <w:rFonts w:hint="eastAsia"/>
                <w:sz w:val="21"/>
                <w:szCs w:val="24"/>
                <w:vertAlign w:val="baseline"/>
                <w:lang w:val="en-US" w:eastAsia="zh-CN"/>
              </w:rPr>
              <w:t>10</w:t>
            </w:r>
          </w:p>
        </w:tc>
        <w:tc>
          <w:tcPr>
            <w:tcW w:w="659" w:type="dxa"/>
            <w:vMerge w:val="restart"/>
            <w:vAlign w:val="center"/>
          </w:tcPr>
          <w:p>
            <w:pPr>
              <w:numPr>
                <w:ilvl w:val="0"/>
                <w:numId w:val="0"/>
              </w:numPr>
              <w:ind w:left="0" w:leftChars="0" w:firstLine="0" w:firstLineChars="0"/>
              <w:jc w:val="center"/>
              <w:rPr>
                <w:rFonts w:hint="eastAsia" w:asciiTheme="minorHAnsi" w:hAnsiTheme="minorHAnsi" w:eastAsiaTheme="minorEastAsia" w:cstheme="minorBidi"/>
                <w:kern w:val="2"/>
                <w:sz w:val="18"/>
                <w:szCs w:val="21"/>
                <w:vertAlign w:val="baseline"/>
                <w:lang w:val="en-US" w:eastAsia="zh-CN" w:bidi="ar-SA"/>
              </w:rPr>
            </w:pPr>
            <w:r>
              <w:rPr>
                <w:rFonts w:hint="eastAsia"/>
                <w:sz w:val="18"/>
                <w:szCs w:val="21"/>
                <w:vertAlign w:val="baseline"/>
                <w:lang w:val="en-US" w:eastAsia="zh-CN"/>
              </w:rPr>
              <w:t>事故隐患排查治理情况</w:t>
            </w:r>
          </w:p>
        </w:tc>
        <w:tc>
          <w:tcPr>
            <w:tcW w:w="1138" w:type="dxa"/>
            <w:vAlign w:val="center"/>
          </w:tcPr>
          <w:p>
            <w:pPr>
              <w:numPr>
                <w:ilvl w:val="0"/>
                <w:numId w:val="0"/>
              </w:numPr>
              <w:ind w:left="0" w:leftChars="0" w:firstLine="0" w:firstLineChars="0"/>
              <w:jc w:val="left"/>
              <w:rPr>
                <w:rFonts w:hint="eastAsia" w:asciiTheme="minorHAnsi" w:hAnsiTheme="minorHAnsi" w:eastAsiaTheme="minorEastAsia" w:cstheme="minorBidi"/>
                <w:kern w:val="2"/>
                <w:sz w:val="18"/>
                <w:szCs w:val="21"/>
                <w:vertAlign w:val="baseline"/>
                <w:lang w:val="en-US" w:eastAsia="zh-CN" w:bidi="ar-SA"/>
              </w:rPr>
            </w:pPr>
            <w:r>
              <w:rPr>
                <w:rFonts w:hint="eastAsia"/>
                <w:sz w:val="18"/>
                <w:szCs w:val="21"/>
                <w:vertAlign w:val="baseline"/>
                <w:lang w:val="en-US" w:eastAsia="zh-CN"/>
              </w:rPr>
              <w:t>10.1建立安全风险分级管控制度</w:t>
            </w:r>
          </w:p>
        </w:tc>
        <w:tc>
          <w:tcPr>
            <w:tcW w:w="4966" w:type="dxa"/>
            <w:vAlign w:val="center"/>
          </w:tcPr>
          <w:p>
            <w:p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《安全生产法》第四十一条第一款  生产经营单位应当建立建立安全风险分级管控制度，按照安全风险分级采取相应的管控措施。</w:t>
            </w:r>
          </w:p>
        </w:tc>
        <w:tc>
          <w:tcPr>
            <w:tcW w:w="6286" w:type="dxa"/>
            <w:vAlign w:val="center"/>
          </w:tcPr>
          <w:p>
            <w:pPr>
              <w:numPr>
                <w:ilvl w:val="0"/>
                <w:numId w:val="0"/>
              </w:num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《安全生产法》第一百零一条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numPr>
                <w:ilvl w:val="0"/>
                <w:numId w:val="0"/>
              </w:numPr>
              <w:ind w:firstLine="180" w:firstLineChars="100"/>
              <w:rPr>
                <w:rFonts w:hint="eastAsia"/>
                <w:sz w:val="18"/>
                <w:szCs w:val="21"/>
                <w:vertAlign w:val="baseline"/>
                <w:lang w:val="en-US" w:eastAsia="zh-CN"/>
              </w:rPr>
            </w:pPr>
            <w:r>
              <w:rPr>
                <w:rFonts w:hint="eastAsia"/>
                <w:sz w:val="18"/>
                <w:szCs w:val="21"/>
                <w:vertAlign w:val="baseline"/>
                <w:lang w:val="en-US" w:eastAsia="zh-CN"/>
              </w:rPr>
              <w:t>（四）未建立安全风险分级管控制度或者未按照安全风险分级采取相应的管控措施的；.........</w:t>
            </w:r>
          </w:p>
        </w:tc>
        <w:tc>
          <w:tcPr>
            <w:tcW w:w="697" w:type="dxa"/>
            <w:vAlign w:val="center"/>
          </w:tcPr>
          <w:p>
            <w:pPr>
              <w:numPr>
                <w:ilvl w:val="0"/>
                <w:numId w:val="0"/>
              </w:numPr>
              <w:jc w:val="center"/>
              <w:rPr>
                <w:rFonts w:hint="default"/>
                <w:sz w:val="21"/>
                <w:szCs w:val="24"/>
                <w:vertAlign w:val="baseline"/>
                <w:lang w:val="en-US" w:eastAsia="zh-CN"/>
              </w:rPr>
            </w:pPr>
          </w:p>
        </w:tc>
        <w:tc>
          <w:tcPr>
            <w:tcW w:w="720" w:type="dxa"/>
            <w:vAlign w:val="center"/>
          </w:tcPr>
          <w:p>
            <w:pPr>
              <w:numPr>
                <w:ilvl w:val="0"/>
                <w:numId w:val="0"/>
              </w:numPr>
              <w:jc w:val="center"/>
              <w:rPr>
                <w:rFonts w:hint="default"/>
                <w:sz w:val="21"/>
                <w:szCs w:val="24"/>
                <w:vertAlign w:val="baseline"/>
                <w:lang w:val="en-US" w:eastAsia="zh-CN"/>
              </w:rPr>
            </w:pPr>
          </w:p>
        </w:tc>
        <w:tc>
          <w:tcPr>
            <w:tcW w:w="493" w:type="dxa"/>
            <w:vAlign w:val="center"/>
          </w:tcPr>
          <w:p>
            <w:pPr>
              <w:numPr>
                <w:ilvl w:val="0"/>
                <w:numId w:val="0"/>
              </w:numPr>
              <w:jc w:val="center"/>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441" w:type="dxa"/>
            <w:vMerge w:val="continue"/>
            <w:tcBorders/>
            <w:vAlign w:val="center"/>
          </w:tcPr>
          <w:p>
            <w:pPr>
              <w:numPr>
                <w:ilvl w:val="0"/>
                <w:numId w:val="0"/>
              </w:numPr>
              <w:ind w:left="0" w:leftChars="0" w:firstLine="0" w:firstLineChars="0"/>
              <w:jc w:val="center"/>
              <w:rPr>
                <w:rFonts w:hint="eastAsia" w:asciiTheme="minorHAnsi" w:hAnsiTheme="minorHAnsi" w:eastAsiaTheme="minorEastAsia" w:cstheme="minorBidi"/>
                <w:kern w:val="2"/>
                <w:sz w:val="21"/>
                <w:szCs w:val="24"/>
                <w:vertAlign w:val="baseline"/>
                <w:lang w:val="en-US" w:eastAsia="zh-CN" w:bidi="ar-SA"/>
              </w:rPr>
            </w:pPr>
          </w:p>
        </w:tc>
        <w:tc>
          <w:tcPr>
            <w:tcW w:w="659" w:type="dxa"/>
            <w:vMerge w:val="continue"/>
            <w:tcBorders/>
            <w:vAlign w:val="center"/>
          </w:tcPr>
          <w:p>
            <w:pPr>
              <w:numPr>
                <w:ilvl w:val="0"/>
                <w:numId w:val="0"/>
              </w:numPr>
              <w:ind w:left="0" w:leftChars="0" w:firstLine="0" w:firstLineChars="0"/>
              <w:jc w:val="center"/>
              <w:rPr>
                <w:rFonts w:hint="eastAsia" w:asciiTheme="minorHAnsi" w:hAnsiTheme="minorHAnsi" w:eastAsiaTheme="minorEastAsia" w:cstheme="minorBidi"/>
                <w:kern w:val="2"/>
                <w:sz w:val="18"/>
                <w:szCs w:val="21"/>
                <w:vertAlign w:val="baseline"/>
                <w:lang w:val="en-US" w:eastAsia="zh-CN" w:bidi="ar-SA"/>
              </w:rPr>
            </w:pPr>
          </w:p>
        </w:tc>
        <w:tc>
          <w:tcPr>
            <w:tcW w:w="1138" w:type="dxa"/>
            <w:vAlign w:val="center"/>
          </w:tcPr>
          <w:p>
            <w:pPr>
              <w:numPr>
                <w:ilvl w:val="0"/>
                <w:numId w:val="0"/>
              </w:numPr>
              <w:jc w:val="center"/>
              <w:rPr>
                <w:rFonts w:hint="default"/>
                <w:sz w:val="18"/>
                <w:szCs w:val="21"/>
                <w:vertAlign w:val="baseline"/>
                <w:lang w:val="en-US" w:eastAsia="zh-CN"/>
              </w:rPr>
            </w:pPr>
            <w:r>
              <w:rPr>
                <w:rFonts w:hint="eastAsia"/>
                <w:sz w:val="18"/>
                <w:szCs w:val="21"/>
                <w:vertAlign w:val="baseline"/>
                <w:lang w:val="en-US" w:eastAsia="zh-CN"/>
              </w:rPr>
              <w:t>10.2建立健全生产安全事故隐患排查治理制度</w:t>
            </w:r>
          </w:p>
        </w:tc>
        <w:tc>
          <w:tcPr>
            <w:tcW w:w="4966" w:type="dxa"/>
            <w:vAlign w:val="center"/>
          </w:tcPr>
          <w:p>
            <w:p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《安全生产法》第四十一条第二款  生产经营单位应当建立健全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6286" w:type="dxa"/>
            <w:vAlign w:val="center"/>
          </w:tcPr>
          <w:p>
            <w:pPr>
              <w:numPr>
                <w:ilvl w:val="0"/>
                <w:numId w:val="0"/>
              </w:num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《安全生产法》第一百零一条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numPr>
                <w:ilvl w:val="0"/>
                <w:numId w:val="0"/>
              </w:numPr>
              <w:ind w:firstLine="180" w:firstLineChars="100"/>
              <w:rPr>
                <w:rFonts w:hint="default"/>
                <w:sz w:val="18"/>
                <w:szCs w:val="21"/>
                <w:vertAlign w:val="baseline"/>
                <w:lang w:val="en-US" w:eastAsia="zh-CN"/>
              </w:rPr>
            </w:pPr>
            <w:r>
              <w:rPr>
                <w:rFonts w:hint="eastAsia"/>
                <w:sz w:val="18"/>
                <w:szCs w:val="21"/>
                <w:vertAlign w:val="baseline"/>
                <w:lang w:val="en-US" w:eastAsia="zh-CN"/>
              </w:rPr>
              <w:t xml:space="preserve"> （五）未建立事故隐患排查治理制度，或者重大事故隐患排查治理情况未按照规定报告的。</w:t>
            </w:r>
          </w:p>
        </w:tc>
        <w:tc>
          <w:tcPr>
            <w:tcW w:w="697" w:type="dxa"/>
            <w:vAlign w:val="center"/>
          </w:tcPr>
          <w:p>
            <w:pPr>
              <w:numPr>
                <w:ilvl w:val="0"/>
                <w:numId w:val="0"/>
              </w:numPr>
              <w:jc w:val="center"/>
              <w:rPr>
                <w:rFonts w:hint="default"/>
                <w:sz w:val="21"/>
                <w:szCs w:val="24"/>
                <w:vertAlign w:val="baseline"/>
                <w:lang w:val="en-US" w:eastAsia="zh-CN"/>
              </w:rPr>
            </w:pPr>
          </w:p>
        </w:tc>
        <w:tc>
          <w:tcPr>
            <w:tcW w:w="720" w:type="dxa"/>
            <w:vAlign w:val="center"/>
          </w:tcPr>
          <w:p>
            <w:pPr>
              <w:numPr>
                <w:ilvl w:val="0"/>
                <w:numId w:val="0"/>
              </w:numPr>
              <w:jc w:val="center"/>
              <w:rPr>
                <w:rFonts w:hint="default"/>
                <w:sz w:val="21"/>
                <w:szCs w:val="24"/>
                <w:vertAlign w:val="baseline"/>
                <w:lang w:val="en-US" w:eastAsia="zh-CN"/>
              </w:rPr>
            </w:pPr>
          </w:p>
        </w:tc>
        <w:tc>
          <w:tcPr>
            <w:tcW w:w="493" w:type="dxa"/>
            <w:vAlign w:val="center"/>
          </w:tcPr>
          <w:p>
            <w:pPr>
              <w:numPr>
                <w:ilvl w:val="0"/>
                <w:numId w:val="0"/>
              </w:numPr>
              <w:jc w:val="center"/>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441" w:type="dxa"/>
            <w:vMerge w:val="continue"/>
            <w:tcBorders/>
            <w:vAlign w:val="center"/>
          </w:tcPr>
          <w:p>
            <w:pPr>
              <w:numPr>
                <w:ilvl w:val="0"/>
                <w:numId w:val="0"/>
              </w:numPr>
              <w:ind w:left="0" w:leftChars="0" w:firstLine="0" w:firstLineChars="0"/>
              <w:jc w:val="center"/>
              <w:rPr>
                <w:rFonts w:hint="eastAsia"/>
                <w:sz w:val="21"/>
                <w:szCs w:val="24"/>
                <w:vertAlign w:val="baseline"/>
                <w:lang w:val="en-US" w:eastAsia="zh-CN"/>
              </w:rPr>
            </w:pPr>
          </w:p>
        </w:tc>
        <w:tc>
          <w:tcPr>
            <w:tcW w:w="659" w:type="dxa"/>
            <w:vMerge w:val="continue"/>
            <w:tcBorders/>
            <w:vAlign w:val="center"/>
          </w:tcPr>
          <w:p>
            <w:pPr>
              <w:numPr>
                <w:ilvl w:val="0"/>
                <w:numId w:val="0"/>
              </w:numPr>
              <w:ind w:left="0" w:leftChars="0" w:firstLine="0" w:firstLineChars="0"/>
              <w:jc w:val="center"/>
              <w:rPr>
                <w:rFonts w:hint="eastAsia"/>
                <w:sz w:val="18"/>
                <w:szCs w:val="21"/>
                <w:vertAlign w:val="baseline"/>
                <w:lang w:val="en-US" w:eastAsia="zh-CN"/>
              </w:rPr>
            </w:pPr>
          </w:p>
        </w:tc>
        <w:tc>
          <w:tcPr>
            <w:tcW w:w="1138" w:type="dxa"/>
            <w:vAlign w:val="center"/>
          </w:tcPr>
          <w:p>
            <w:pPr>
              <w:numPr>
                <w:ilvl w:val="0"/>
                <w:numId w:val="0"/>
              </w:numPr>
              <w:jc w:val="center"/>
              <w:rPr>
                <w:rFonts w:hint="default"/>
                <w:sz w:val="18"/>
                <w:szCs w:val="21"/>
                <w:vertAlign w:val="baseline"/>
                <w:lang w:val="en-US" w:eastAsia="zh-CN"/>
              </w:rPr>
            </w:pPr>
            <w:r>
              <w:rPr>
                <w:rFonts w:hint="eastAsia"/>
                <w:sz w:val="18"/>
                <w:szCs w:val="21"/>
                <w:vertAlign w:val="baseline"/>
                <w:lang w:val="en-US" w:eastAsia="zh-CN"/>
              </w:rPr>
              <w:t>10.3如实记录事故隐患排查治理情况并向从业人员通报</w:t>
            </w:r>
          </w:p>
        </w:tc>
        <w:tc>
          <w:tcPr>
            <w:tcW w:w="4966" w:type="dxa"/>
            <w:vAlign w:val="center"/>
          </w:tcPr>
          <w:p>
            <w:p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《安全生产法》第四十一条第二款  生产经营单位应当建立健全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安全生产法》第三十八条第一款生产经营单位应当建立健全生产安全事故隐患排査治理制度,采取技术、管理措施,及时发现并消除事故隐患。事故隐患排查治理情况应当如实记录,并向从业人员通报。</w:t>
            </w:r>
          </w:p>
        </w:tc>
        <w:tc>
          <w:tcPr>
            <w:tcW w:w="6286" w:type="dxa"/>
            <w:vAlign w:val="center"/>
          </w:tcPr>
          <w:p>
            <w:pPr>
              <w:numPr>
                <w:ilvl w:val="0"/>
                <w:numId w:val="0"/>
              </w:num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numPr>
                <w:ilvl w:val="0"/>
                <w:numId w:val="0"/>
              </w:numPr>
              <w:ind w:firstLine="360" w:firstLineChars="200"/>
              <w:rPr>
                <w:rFonts w:hint="eastAsia"/>
                <w:sz w:val="18"/>
                <w:szCs w:val="21"/>
                <w:vertAlign w:val="baseline"/>
                <w:lang w:val="en-US" w:eastAsia="zh-CN"/>
              </w:rPr>
            </w:pPr>
            <w:r>
              <w:rPr>
                <w:rFonts w:hint="eastAsia"/>
                <w:sz w:val="18"/>
                <w:szCs w:val="21"/>
                <w:vertAlign w:val="baseline"/>
                <w:lang w:val="en-US" w:eastAsia="zh-CN"/>
              </w:rPr>
              <w:t>.....</w:t>
            </w:r>
          </w:p>
          <w:p>
            <w:pPr>
              <w:numPr>
                <w:ilvl w:val="0"/>
                <w:numId w:val="0"/>
              </w:numPr>
              <w:ind w:firstLine="360" w:firstLineChars="200"/>
              <w:rPr>
                <w:rFonts w:hint="eastAsia"/>
                <w:sz w:val="18"/>
                <w:szCs w:val="21"/>
                <w:vertAlign w:val="baseline"/>
                <w:lang w:val="en-US" w:eastAsia="zh-CN"/>
              </w:rPr>
            </w:pPr>
            <w:r>
              <w:rPr>
                <w:rFonts w:hint="eastAsia"/>
                <w:sz w:val="18"/>
                <w:szCs w:val="21"/>
                <w:vertAlign w:val="baseline"/>
                <w:lang w:val="en-US" w:eastAsia="zh-CN"/>
              </w:rPr>
              <w:t>（五）未将事故隐愚排査治理情况如实记录或者未向从业人员通报的；</w:t>
            </w:r>
          </w:p>
          <w:p>
            <w:pPr>
              <w:numPr>
                <w:ilvl w:val="0"/>
                <w:numId w:val="0"/>
              </w:numPr>
              <w:ind w:firstLine="360" w:firstLineChars="200"/>
              <w:rPr>
                <w:rFonts w:hint="default"/>
                <w:sz w:val="18"/>
                <w:szCs w:val="21"/>
                <w:vertAlign w:val="baseline"/>
                <w:lang w:val="en-US" w:eastAsia="zh-CN"/>
              </w:rPr>
            </w:pPr>
            <w:r>
              <w:rPr>
                <w:rFonts w:hint="eastAsia"/>
                <w:sz w:val="18"/>
                <w:szCs w:val="21"/>
                <w:vertAlign w:val="baseline"/>
                <w:lang w:val="en-US" w:eastAsia="zh-CN"/>
              </w:rPr>
              <w:t>......</w:t>
            </w:r>
          </w:p>
        </w:tc>
        <w:tc>
          <w:tcPr>
            <w:tcW w:w="697" w:type="dxa"/>
            <w:vAlign w:val="center"/>
          </w:tcPr>
          <w:p>
            <w:pPr>
              <w:numPr>
                <w:ilvl w:val="0"/>
                <w:numId w:val="0"/>
              </w:numPr>
              <w:jc w:val="center"/>
              <w:rPr>
                <w:rFonts w:hint="default"/>
                <w:sz w:val="21"/>
                <w:szCs w:val="24"/>
                <w:vertAlign w:val="baseline"/>
                <w:lang w:val="en-US" w:eastAsia="zh-CN"/>
              </w:rPr>
            </w:pPr>
          </w:p>
        </w:tc>
        <w:tc>
          <w:tcPr>
            <w:tcW w:w="720" w:type="dxa"/>
            <w:vAlign w:val="center"/>
          </w:tcPr>
          <w:p>
            <w:pPr>
              <w:numPr>
                <w:ilvl w:val="0"/>
                <w:numId w:val="0"/>
              </w:numPr>
              <w:jc w:val="center"/>
              <w:rPr>
                <w:rFonts w:hint="default"/>
                <w:sz w:val="21"/>
                <w:szCs w:val="24"/>
                <w:vertAlign w:val="baseline"/>
                <w:lang w:val="en-US" w:eastAsia="zh-CN"/>
              </w:rPr>
            </w:pPr>
          </w:p>
        </w:tc>
        <w:tc>
          <w:tcPr>
            <w:tcW w:w="493" w:type="dxa"/>
            <w:vAlign w:val="center"/>
          </w:tcPr>
          <w:p>
            <w:pPr>
              <w:numPr>
                <w:ilvl w:val="0"/>
                <w:numId w:val="0"/>
              </w:numPr>
              <w:jc w:val="center"/>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441" w:type="dxa"/>
            <w:vMerge w:val="continue"/>
            <w:tcBorders/>
            <w:vAlign w:val="center"/>
          </w:tcPr>
          <w:p>
            <w:pPr>
              <w:numPr>
                <w:ilvl w:val="0"/>
                <w:numId w:val="0"/>
              </w:numPr>
              <w:ind w:left="0" w:leftChars="0" w:firstLine="0" w:firstLineChars="0"/>
              <w:jc w:val="center"/>
              <w:rPr>
                <w:rFonts w:hint="eastAsia"/>
                <w:sz w:val="21"/>
                <w:szCs w:val="24"/>
                <w:vertAlign w:val="baseline"/>
                <w:lang w:val="en-US" w:eastAsia="zh-CN"/>
              </w:rPr>
            </w:pPr>
          </w:p>
        </w:tc>
        <w:tc>
          <w:tcPr>
            <w:tcW w:w="659" w:type="dxa"/>
            <w:vMerge w:val="continue"/>
            <w:tcBorders/>
            <w:vAlign w:val="center"/>
          </w:tcPr>
          <w:p>
            <w:pPr>
              <w:numPr>
                <w:ilvl w:val="0"/>
                <w:numId w:val="0"/>
              </w:numPr>
              <w:ind w:left="0" w:leftChars="0" w:firstLine="0" w:firstLineChars="0"/>
              <w:jc w:val="center"/>
              <w:rPr>
                <w:rFonts w:hint="eastAsia"/>
                <w:sz w:val="18"/>
                <w:szCs w:val="21"/>
                <w:vertAlign w:val="baseline"/>
                <w:lang w:val="en-US" w:eastAsia="zh-CN"/>
              </w:rPr>
            </w:pPr>
          </w:p>
        </w:tc>
        <w:tc>
          <w:tcPr>
            <w:tcW w:w="1138" w:type="dxa"/>
            <w:vAlign w:val="center"/>
          </w:tcPr>
          <w:p>
            <w:pPr>
              <w:numPr>
                <w:ilvl w:val="0"/>
                <w:numId w:val="0"/>
              </w:numPr>
              <w:jc w:val="center"/>
              <w:rPr>
                <w:rFonts w:hint="default"/>
                <w:sz w:val="18"/>
                <w:szCs w:val="21"/>
                <w:vertAlign w:val="baseline"/>
                <w:lang w:val="en-US" w:eastAsia="zh-CN"/>
              </w:rPr>
            </w:pPr>
            <w:r>
              <w:rPr>
                <w:rFonts w:hint="eastAsia"/>
                <w:sz w:val="18"/>
                <w:szCs w:val="21"/>
                <w:vertAlign w:val="baseline"/>
                <w:lang w:val="en-US" w:eastAsia="zh-CN"/>
              </w:rPr>
              <w:t>10.4采取措施消除事故隐患</w:t>
            </w:r>
          </w:p>
        </w:tc>
        <w:tc>
          <w:tcPr>
            <w:tcW w:w="4966" w:type="dxa"/>
            <w:vAlign w:val="center"/>
          </w:tcPr>
          <w:p>
            <w:p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《安全生产法》第四十一条第二款  生产经营单位应当建立健全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安全生产法》第三十八条第一款生产经营单位应当建立健全生产安全事故隐患排査治理制度,采取技术、管理措施,及时发现并消除事故隐患。事故隐患排查治理情况应当如实记录,并向从业人员通报。</w:t>
            </w:r>
          </w:p>
        </w:tc>
        <w:tc>
          <w:tcPr>
            <w:tcW w:w="6286" w:type="dxa"/>
            <w:vAlign w:val="center"/>
          </w:tcPr>
          <w:p>
            <w:pPr>
              <w:numPr>
                <w:ilvl w:val="0"/>
                <w:numId w:val="0"/>
              </w:num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697" w:type="dxa"/>
            <w:vAlign w:val="center"/>
          </w:tcPr>
          <w:p>
            <w:pPr>
              <w:numPr>
                <w:ilvl w:val="0"/>
                <w:numId w:val="0"/>
              </w:numPr>
              <w:jc w:val="center"/>
              <w:rPr>
                <w:rFonts w:hint="default"/>
                <w:sz w:val="21"/>
                <w:szCs w:val="24"/>
                <w:vertAlign w:val="baseline"/>
                <w:lang w:val="en-US" w:eastAsia="zh-CN"/>
              </w:rPr>
            </w:pPr>
          </w:p>
        </w:tc>
        <w:tc>
          <w:tcPr>
            <w:tcW w:w="720" w:type="dxa"/>
            <w:vAlign w:val="center"/>
          </w:tcPr>
          <w:p>
            <w:pPr>
              <w:numPr>
                <w:ilvl w:val="0"/>
                <w:numId w:val="0"/>
              </w:numPr>
              <w:jc w:val="center"/>
              <w:rPr>
                <w:rFonts w:hint="default"/>
                <w:sz w:val="21"/>
                <w:szCs w:val="24"/>
                <w:vertAlign w:val="baseline"/>
                <w:lang w:val="en-US" w:eastAsia="zh-CN"/>
              </w:rPr>
            </w:pPr>
          </w:p>
        </w:tc>
        <w:tc>
          <w:tcPr>
            <w:tcW w:w="493" w:type="dxa"/>
            <w:vAlign w:val="center"/>
          </w:tcPr>
          <w:p>
            <w:pPr>
              <w:numPr>
                <w:ilvl w:val="0"/>
                <w:numId w:val="0"/>
              </w:numPr>
              <w:jc w:val="center"/>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41" w:type="dxa"/>
            <w:vMerge w:val="continue"/>
            <w:tcBorders/>
            <w:vAlign w:val="center"/>
          </w:tcPr>
          <w:p>
            <w:pPr>
              <w:numPr>
                <w:ilvl w:val="0"/>
                <w:numId w:val="0"/>
              </w:numPr>
              <w:ind w:left="0" w:leftChars="0" w:firstLine="0" w:firstLineChars="0"/>
              <w:jc w:val="center"/>
              <w:rPr>
                <w:rFonts w:hint="eastAsia"/>
                <w:sz w:val="21"/>
                <w:szCs w:val="24"/>
                <w:vertAlign w:val="baseline"/>
                <w:lang w:val="en-US" w:eastAsia="zh-CN"/>
              </w:rPr>
            </w:pPr>
          </w:p>
        </w:tc>
        <w:tc>
          <w:tcPr>
            <w:tcW w:w="659" w:type="dxa"/>
            <w:vMerge w:val="continue"/>
            <w:tcBorders/>
            <w:vAlign w:val="center"/>
          </w:tcPr>
          <w:p>
            <w:pPr>
              <w:numPr>
                <w:ilvl w:val="0"/>
                <w:numId w:val="0"/>
              </w:numPr>
              <w:ind w:left="0" w:leftChars="0" w:firstLine="0" w:firstLineChars="0"/>
              <w:jc w:val="center"/>
              <w:rPr>
                <w:rFonts w:hint="eastAsia"/>
                <w:sz w:val="18"/>
                <w:szCs w:val="21"/>
                <w:vertAlign w:val="baseline"/>
                <w:lang w:val="en-US" w:eastAsia="zh-CN"/>
              </w:rPr>
            </w:pPr>
          </w:p>
        </w:tc>
        <w:tc>
          <w:tcPr>
            <w:tcW w:w="1138" w:type="dxa"/>
            <w:vAlign w:val="center"/>
          </w:tcPr>
          <w:p>
            <w:pPr>
              <w:numPr>
                <w:ilvl w:val="0"/>
                <w:numId w:val="0"/>
              </w:numPr>
              <w:jc w:val="center"/>
              <w:rPr>
                <w:rFonts w:hint="default"/>
                <w:sz w:val="18"/>
                <w:szCs w:val="21"/>
                <w:vertAlign w:val="baseline"/>
                <w:lang w:val="en-US" w:eastAsia="zh-CN"/>
              </w:rPr>
            </w:pPr>
            <w:r>
              <w:rPr>
                <w:rFonts w:hint="eastAsia"/>
                <w:sz w:val="18"/>
                <w:szCs w:val="21"/>
                <w:vertAlign w:val="baseline"/>
                <w:lang w:val="en-US" w:eastAsia="zh-CN"/>
              </w:rPr>
              <w:t>10.5重大事故隐患报告</w:t>
            </w:r>
          </w:p>
        </w:tc>
        <w:tc>
          <w:tcPr>
            <w:tcW w:w="4966" w:type="dxa"/>
            <w:vAlign w:val="center"/>
          </w:tcPr>
          <w:p>
            <w:pPr>
              <w:ind w:firstLine="360" w:firstLineChars="200"/>
              <w:rPr>
                <w:rFonts w:hint="default"/>
                <w:sz w:val="18"/>
                <w:szCs w:val="21"/>
                <w:vertAlign w:val="baseline"/>
                <w:lang w:val="en-US" w:eastAsia="zh-CN"/>
              </w:rPr>
            </w:pPr>
            <w:r>
              <w:rPr>
                <w:rFonts w:hint="eastAsia"/>
                <w:sz w:val="18"/>
                <w:szCs w:val="21"/>
                <w:vertAlign w:val="baseline"/>
                <w:lang w:val="en-US" w:eastAsia="zh-CN"/>
              </w:rPr>
              <w:t>《安全生产事故隐患排查治理暂行规定》第十四条第二款  对于重大事故隐患，生产经营单位除依照前款规定报送外，应当及时向安全监管监察部门和有关部门报告。</w:t>
            </w:r>
          </w:p>
        </w:tc>
        <w:tc>
          <w:tcPr>
            <w:tcW w:w="6286" w:type="dxa"/>
            <w:vAlign w:val="center"/>
          </w:tcPr>
          <w:p>
            <w:pPr>
              <w:numPr>
                <w:ilvl w:val="0"/>
                <w:numId w:val="0"/>
              </w:numPr>
              <w:ind w:firstLine="360" w:firstLineChars="200"/>
              <w:rPr>
                <w:rFonts w:hint="default"/>
                <w:sz w:val="18"/>
                <w:szCs w:val="21"/>
                <w:vertAlign w:val="baseline"/>
                <w:lang w:val="en-US" w:eastAsia="zh-CN"/>
              </w:rPr>
            </w:pPr>
            <w:r>
              <w:rPr>
                <w:rFonts w:hint="eastAsia"/>
                <w:sz w:val="18"/>
                <w:szCs w:val="21"/>
                <w:vertAlign w:val="baseline"/>
                <w:lang w:val="en-US" w:eastAsia="zh-CN"/>
              </w:rPr>
              <w:t>《安全生产事故隐患排查治理暂行规定》第二十六条  生产经营单位违反本规定，有下列行为之一的，由安全监管监察部门给予警告，并处三万元以下的罚款：......</w:t>
            </w:r>
          </w:p>
          <w:p>
            <w:pPr>
              <w:numPr>
                <w:ilvl w:val="0"/>
                <w:numId w:val="0"/>
              </w:numPr>
              <w:ind w:firstLine="360" w:firstLineChars="200"/>
              <w:rPr>
                <w:rFonts w:hint="eastAsia"/>
                <w:sz w:val="18"/>
                <w:szCs w:val="21"/>
                <w:vertAlign w:val="baseline"/>
                <w:lang w:val="en-US" w:eastAsia="zh-CN"/>
              </w:rPr>
            </w:pPr>
            <w:r>
              <w:rPr>
                <w:rFonts w:hint="eastAsia"/>
                <w:sz w:val="18"/>
                <w:szCs w:val="21"/>
                <w:vertAlign w:val="baseline"/>
                <w:lang w:val="en-US" w:eastAsia="zh-CN"/>
              </w:rPr>
              <w:t>（四）重大事故隐患不报或者未及时报告的。</w:t>
            </w:r>
          </w:p>
        </w:tc>
        <w:tc>
          <w:tcPr>
            <w:tcW w:w="697" w:type="dxa"/>
            <w:vAlign w:val="center"/>
          </w:tcPr>
          <w:p>
            <w:pPr>
              <w:numPr>
                <w:ilvl w:val="0"/>
                <w:numId w:val="0"/>
              </w:numPr>
              <w:jc w:val="center"/>
              <w:rPr>
                <w:rFonts w:hint="default"/>
                <w:sz w:val="21"/>
                <w:szCs w:val="24"/>
                <w:vertAlign w:val="baseline"/>
                <w:lang w:val="en-US" w:eastAsia="zh-CN"/>
              </w:rPr>
            </w:pPr>
          </w:p>
        </w:tc>
        <w:tc>
          <w:tcPr>
            <w:tcW w:w="720" w:type="dxa"/>
            <w:vAlign w:val="center"/>
          </w:tcPr>
          <w:p>
            <w:pPr>
              <w:numPr>
                <w:ilvl w:val="0"/>
                <w:numId w:val="0"/>
              </w:numPr>
              <w:jc w:val="center"/>
              <w:rPr>
                <w:rFonts w:hint="default"/>
                <w:sz w:val="21"/>
                <w:szCs w:val="24"/>
                <w:vertAlign w:val="baseline"/>
                <w:lang w:val="en-US" w:eastAsia="zh-CN"/>
              </w:rPr>
            </w:pPr>
          </w:p>
        </w:tc>
        <w:tc>
          <w:tcPr>
            <w:tcW w:w="493" w:type="dxa"/>
            <w:vAlign w:val="center"/>
          </w:tcPr>
          <w:p>
            <w:pPr>
              <w:numPr>
                <w:ilvl w:val="0"/>
                <w:numId w:val="0"/>
              </w:numPr>
              <w:jc w:val="center"/>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2" w:hRule="atLeast"/>
        </w:trPr>
        <w:tc>
          <w:tcPr>
            <w:tcW w:w="441" w:type="dxa"/>
            <w:vMerge w:val="continue"/>
            <w:tcBorders/>
            <w:vAlign w:val="center"/>
          </w:tcPr>
          <w:p>
            <w:pPr>
              <w:numPr>
                <w:ilvl w:val="0"/>
                <w:numId w:val="0"/>
              </w:numPr>
              <w:ind w:left="0" w:leftChars="0" w:firstLine="0" w:firstLineChars="0"/>
              <w:jc w:val="center"/>
              <w:rPr>
                <w:rFonts w:hint="eastAsia"/>
                <w:sz w:val="21"/>
                <w:szCs w:val="24"/>
                <w:vertAlign w:val="baseline"/>
                <w:lang w:val="en-US" w:eastAsia="zh-CN"/>
              </w:rPr>
            </w:pPr>
          </w:p>
        </w:tc>
        <w:tc>
          <w:tcPr>
            <w:tcW w:w="659" w:type="dxa"/>
            <w:vMerge w:val="continue"/>
            <w:tcBorders/>
            <w:vAlign w:val="center"/>
          </w:tcPr>
          <w:p>
            <w:pPr>
              <w:numPr>
                <w:ilvl w:val="0"/>
                <w:numId w:val="0"/>
              </w:numPr>
              <w:ind w:left="0" w:leftChars="0" w:firstLine="0" w:firstLineChars="0"/>
              <w:jc w:val="center"/>
              <w:rPr>
                <w:rFonts w:hint="eastAsia"/>
                <w:sz w:val="18"/>
                <w:szCs w:val="21"/>
                <w:vertAlign w:val="baseline"/>
                <w:lang w:val="en-US" w:eastAsia="zh-CN"/>
              </w:rPr>
            </w:pPr>
          </w:p>
        </w:tc>
        <w:tc>
          <w:tcPr>
            <w:tcW w:w="1138" w:type="dxa"/>
            <w:vAlign w:val="center"/>
          </w:tcPr>
          <w:p>
            <w:pPr>
              <w:numPr>
                <w:ilvl w:val="0"/>
                <w:numId w:val="0"/>
              </w:numPr>
              <w:jc w:val="center"/>
              <w:rPr>
                <w:rFonts w:hint="default"/>
                <w:sz w:val="18"/>
                <w:szCs w:val="21"/>
                <w:vertAlign w:val="baseline"/>
                <w:lang w:val="en-US" w:eastAsia="zh-CN"/>
              </w:rPr>
            </w:pPr>
            <w:r>
              <w:rPr>
                <w:rFonts w:hint="eastAsia"/>
                <w:sz w:val="18"/>
                <w:szCs w:val="21"/>
                <w:vertAlign w:val="baseline"/>
                <w:lang w:val="en-US" w:eastAsia="zh-CN"/>
              </w:rPr>
              <w:t>10.6重大事故隐患整改</w:t>
            </w:r>
          </w:p>
        </w:tc>
        <w:tc>
          <w:tcPr>
            <w:tcW w:w="4966" w:type="dxa"/>
            <w:vAlign w:val="center"/>
          </w:tcPr>
          <w:p>
            <w:p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《安全生产事故隐患排査治理暂行规定》第十八条  地方人民政府或者安全监管监察部门及有关部门挂牌督办并责令全部或者局部停产停业治理的重大事故隐患治理工作结束后，有条件的生产经营单位应当组织本单位的技术人员和专家对重大事故隐患的治理情况进行评估；其他生产经营单位应当委托具备相应资质的安全评价机构对重大事故隐患的治理情况进行评估。治理后符合安全生产条件的，生产经营单位应当向安全监管监察部门和有关部门提出恢复生产的书面申请，经安全监管监察部门和有关部门审查同意后，方可恢复生产经营。申请报告应当包括治理方案的内容、项目和安全评价机构出具的评价报告等。</w:t>
            </w:r>
          </w:p>
        </w:tc>
        <w:tc>
          <w:tcPr>
            <w:tcW w:w="6286" w:type="dxa"/>
            <w:vAlign w:val="center"/>
          </w:tcPr>
          <w:p>
            <w:pPr>
              <w:numPr>
                <w:ilvl w:val="0"/>
                <w:numId w:val="0"/>
              </w:num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《安全生产事故隐患排查治理暂行规定》第二十六条  生产经营单位违反本规定，有下列行为之一的，由安全监管监察部门给予警告，并处三万元以下的罚款；</w:t>
            </w:r>
          </w:p>
          <w:p>
            <w:pPr>
              <w:numPr>
                <w:ilvl w:val="0"/>
                <w:numId w:val="0"/>
              </w:numPr>
              <w:ind w:firstLine="180" w:firstLineChars="100"/>
              <w:rPr>
                <w:rFonts w:hint="eastAsia"/>
                <w:sz w:val="18"/>
                <w:szCs w:val="21"/>
                <w:vertAlign w:val="baseline"/>
                <w:lang w:val="en-US" w:eastAsia="zh-CN"/>
              </w:rPr>
            </w:pPr>
            <w:r>
              <w:rPr>
                <w:rFonts w:hint="eastAsia"/>
                <w:sz w:val="18"/>
                <w:szCs w:val="21"/>
                <w:vertAlign w:val="baseline"/>
                <w:lang w:val="en-US" w:eastAsia="zh-CN"/>
              </w:rPr>
              <w:t>......</w:t>
            </w:r>
          </w:p>
          <w:p>
            <w:pPr>
              <w:numPr>
                <w:ilvl w:val="0"/>
                <w:numId w:val="0"/>
              </w:numPr>
              <w:ind w:firstLine="360" w:firstLineChars="200"/>
              <w:rPr>
                <w:rFonts w:hint="default"/>
                <w:sz w:val="18"/>
                <w:szCs w:val="21"/>
                <w:vertAlign w:val="baseline"/>
                <w:lang w:val="en-US" w:eastAsia="zh-CN"/>
              </w:rPr>
            </w:pPr>
            <w:r>
              <w:rPr>
                <w:rFonts w:hint="eastAsia"/>
                <w:sz w:val="18"/>
                <w:szCs w:val="21"/>
                <w:vertAlign w:val="baseline"/>
                <w:lang w:val="en-US" w:eastAsia="zh-CN"/>
              </w:rPr>
              <w:t>（六）整改不合格或者未经安全监管监察部门审查同意擅自恢复生产经营的。</w:t>
            </w:r>
          </w:p>
        </w:tc>
        <w:tc>
          <w:tcPr>
            <w:tcW w:w="697" w:type="dxa"/>
            <w:vAlign w:val="center"/>
          </w:tcPr>
          <w:p>
            <w:pPr>
              <w:numPr>
                <w:ilvl w:val="0"/>
                <w:numId w:val="0"/>
              </w:numPr>
              <w:jc w:val="center"/>
              <w:rPr>
                <w:rFonts w:hint="default"/>
                <w:sz w:val="21"/>
                <w:szCs w:val="24"/>
                <w:vertAlign w:val="baseline"/>
                <w:lang w:val="en-US" w:eastAsia="zh-CN"/>
              </w:rPr>
            </w:pPr>
          </w:p>
        </w:tc>
        <w:tc>
          <w:tcPr>
            <w:tcW w:w="720" w:type="dxa"/>
            <w:vAlign w:val="center"/>
          </w:tcPr>
          <w:p>
            <w:pPr>
              <w:numPr>
                <w:ilvl w:val="0"/>
                <w:numId w:val="0"/>
              </w:numPr>
              <w:jc w:val="center"/>
              <w:rPr>
                <w:rFonts w:hint="default"/>
                <w:sz w:val="21"/>
                <w:szCs w:val="24"/>
                <w:vertAlign w:val="baseline"/>
                <w:lang w:val="en-US" w:eastAsia="zh-CN"/>
              </w:rPr>
            </w:pPr>
          </w:p>
        </w:tc>
        <w:tc>
          <w:tcPr>
            <w:tcW w:w="493" w:type="dxa"/>
            <w:vAlign w:val="center"/>
          </w:tcPr>
          <w:p>
            <w:pPr>
              <w:numPr>
                <w:ilvl w:val="0"/>
                <w:numId w:val="0"/>
              </w:numPr>
              <w:jc w:val="center"/>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441" w:type="dxa"/>
            <w:vMerge w:val="restart"/>
            <w:vAlign w:val="center"/>
          </w:tcPr>
          <w:p>
            <w:pPr>
              <w:numPr>
                <w:ilvl w:val="0"/>
                <w:numId w:val="0"/>
              </w:numPr>
              <w:ind w:left="0" w:leftChars="0" w:firstLine="0" w:firstLineChars="0"/>
              <w:jc w:val="center"/>
              <w:rPr>
                <w:rFonts w:hint="default"/>
                <w:sz w:val="21"/>
                <w:szCs w:val="24"/>
                <w:vertAlign w:val="baseline"/>
                <w:lang w:val="en-US" w:eastAsia="zh-CN"/>
              </w:rPr>
            </w:pPr>
            <w:r>
              <w:rPr>
                <w:rFonts w:hint="eastAsia"/>
                <w:sz w:val="21"/>
                <w:szCs w:val="24"/>
                <w:vertAlign w:val="baseline"/>
                <w:lang w:val="en-US" w:eastAsia="zh-CN"/>
              </w:rPr>
              <w:t>11</w:t>
            </w:r>
          </w:p>
        </w:tc>
        <w:tc>
          <w:tcPr>
            <w:tcW w:w="659" w:type="dxa"/>
            <w:vMerge w:val="restart"/>
            <w:vAlign w:val="center"/>
          </w:tcPr>
          <w:p>
            <w:pPr>
              <w:numPr>
                <w:ilvl w:val="0"/>
                <w:numId w:val="0"/>
              </w:numPr>
              <w:ind w:left="0" w:leftChars="0" w:firstLine="0" w:firstLineChars="0"/>
              <w:jc w:val="center"/>
              <w:rPr>
                <w:rFonts w:hint="eastAsia"/>
                <w:sz w:val="18"/>
                <w:szCs w:val="21"/>
                <w:vertAlign w:val="baseline"/>
                <w:lang w:val="en-US" w:eastAsia="zh-CN"/>
              </w:rPr>
            </w:pPr>
            <w:r>
              <w:rPr>
                <w:rFonts w:hint="eastAsia"/>
                <w:sz w:val="18"/>
                <w:szCs w:val="21"/>
                <w:vertAlign w:val="baseline"/>
                <w:lang w:val="en-US" w:eastAsia="zh-CN"/>
              </w:rPr>
              <w:t>危险场所与员工宿舍安全距离及安全出口管理情况</w:t>
            </w:r>
          </w:p>
        </w:tc>
        <w:tc>
          <w:tcPr>
            <w:tcW w:w="1138" w:type="dxa"/>
            <w:vAlign w:val="center"/>
          </w:tcPr>
          <w:p>
            <w:pPr>
              <w:numPr>
                <w:ilvl w:val="0"/>
                <w:numId w:val="0"/>
              </w:numPr>
              <w:jc w:val="left"/>
              <w:rPr>
                <w:rFonts w:hint="default"/>
                <w:sz w:val="18"/>
                <w:szCs w:val="21"/>
                <w:vertAlign w:val="baseline"/>
                <w:lang w:val="en-US" w:eastAsia="zh-CN"/>
              </w:rPr>
            </w:pPr>
            <w:r>
              <w:rPr>
                <w:rFonts w:hint="eastAsia"/>
                <w:sz w:val="18"/>
                <w:szCs w:val="21"/>
                <w:vertAlign w:val="baseline"/>
                <w:lang w:val="en-US" w:eastAsia="zh-CN"/>
              </w:rPr>
              <w:t>11.1危险物品场所与员工宿舍不在同一建筑物且保持安全距离</w:t>
            </w:r>
          </w:p>
        </w:tc>
        <w:tc>
          <w:tcPr>
            <w:tcW w:w="4966" w:type="dxa"/>
            <w:vAlign w:val="center"/>
          </w:tcPr>
          <w:p>
            <w:p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《安全生产法》第四十二条第一款  生产、经营、储存、使用危险物品的车间、商店、仓库不得与员工宿舍在同一座建筑物内，并应当与员工宿舍保持安全距离。</w:t>
            </w:r>
          </w:p>
        </w:tc>
        <w:tc>
          <w:tcPr>
            <w:tcW w:w="6286" w:type="dxa"/>
            <w:vAlign w:val="center"/>
          </w:tcPr>
          <w:p>
            <w:pPr>
              <w:numPr>
                <w:ilvl w:val="0"/>
                <w:numId w:val="0"/>
              </w:num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《安全生产法》第一百零五条 生产经营单位有下列行为之一的，责令限期改正，处五万元以下的罚款，对其直接负责的主管人员和其他直接赉任人员可以处一万元以下的罚款；逾期未改正的，责令停产停业整顿；构成犯罪的，依照刑法有关规定追究刑事责任：</w:t>
            </w:r>
          </w:p>
          <w:p>
            <w:pPr>
              <w:numPr>
                <w:ilvl w:val="0"/>
                <w:numId w:val="0"/>
              </w:numPr>
              <w:ind w:firstLine="360" w:firstLineChars="200"/>
              <w:rPr>
                <w:rFonts w:hint="default"/>
                <w:sz w:val="18"/>
                <w:szCs w:val="21"/>
                <w:vertAlign w:val="baseline"/>
                <w:lang w:val="en-US" w:eastAsia="zh-CN"/>
              </w:rPr>
            </w:pPr>
            <w:r>
              <w:rPr>
                <w:rFonts w:hint="eastAsia"/>
                <w:sz w:val="18"/>
                <w:szCs w:val="21"/>
                <w:vertAlign w:val="baseline"/>
                <w:lang w:val="en-US" w:eastAsia="zh-CN"/>
              </w:rPr>
              <w:t>（一）生产、经营、储存、使用危险物品的车间、商店、仓库与员工宿舍在同一座建筑内，或者与员工宿舍的距离不符合安全要求的；......</w:t>
            </w:r>
          </w:p>
        </w:tc>
        <w:tc>
          <w:tcPr>
            <w:tcW w:w="697" w:type="dxa"/>
            <w:vAlign w:val="center"/>
          </w:tcPr>
          <w:p>
            <w:pPr>
              <w:numPr>
                <w:ilvl w:val="0"/>
                <w:numId w:val="0"/>
              </w:numPr>
              <w:jc w:val="center"/>
              <w:rPr>
                <w:rFonts w:hint="default"/>
                <w:sz w:val="21"/>
                <w:szCs w:val="24"/>
                <w:vertAlign w:val="baseline"/>
                <w:lang w:val="en-US" w:eastAsia="zh-CN"/>
              </w:rPr>
            </w:pPr>
          </w:p>
        </w:tc>
        <w:tc>
          <w:tcPr>
            <w:tcW w:w="720" w:type="dxa"/>
            <w:vAlign w:val="center"/>
          </w:tcPr>
          <w:p>
            <w:pPr>
              <w:numPr>
                <w:ilvl w:val="0"/>
                <w:numId w:val="0"/>
              </w:numPr>
              <w:jc w:val="center"/>
              <w:rPr>
                <w:rFonts w:hint="default"/>
                <w:sz w:val="21"/>
                <w:szCs w:val="24"/>
                <w:vertAlign w:val="baseline"/>
                <w:lang w:val="en-US" w:eastAsia="zh-CN"/>
              </w:rPr>
            </w:pPr>
          </w:p>
        </w:tc>
        <w:tc>
          <w:tcPr>
            <w:tcW w:w="493" w:type="dxa"/>
            <w:vAlign w:val="center"/>
          </w:tcPr>
          <w:p>
            <w:pPr>
              <w:numPr>
                <w:ilvl w:val="0"/>
                <w:numId w:val="0"/>
              </w:numPr>
              <w:jc w:val="center"/>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2" w:hRule="atLeast"/>
        </w:trPr>
        <w:tc>
          <w:tcPr>
            <w:tcW w:w="441" w:type="dxa"/>
            <w:vMerge w:val="continue"/>
            <w:vAlign w:val="center"/>
          </w:tcPr>
          <w:p>
            <w:pPr>
              <w:numPr>
                <w:ilvl w:val="0"/>
                <w:numId w:val="0"/>
              </w:numPr>
              <w:ind w:left="0" w:leftChars="0" w:firstLine="0" w:firstLineChars="0"/>
              <w:jc w:val="center"/>
              <w:rPr>
                <w:rFonts w:hint="eastAsia"/>
                <w:sz w:val="21"/>
                <w:szCs w:val="24"/>
                <w:vertAlign w:val="baseline"/>
                <w:lang w:val="en-US" w:eastAsia="zh-CN"/>
              </w:rPr>
            </w:pPr>
          </w:p>
        </w:tc>
        <w:tc>
          <w:tcPr>
            <w:tcW w:w="659" w:type="dxa"/>
            <w:vMerge w:val="continue"/>
            <w:vAlign w:val="center"/>
          </w:tcPr>
          <w:p>
            <w:pPr>
              <w:numPr>
                <w:ilvl w:val="0"/>
                <w:numId w:val="0"/>
              </w:numPr>
              <w:ind w:left="0" w:leftChars="0" w:firstLine="0" w:firstLineChars="0"/>
              <w:jc w:val="center"/>
              <w:rPr>
                <w:rFonts w:hint="eastAsia"/>
                <w:sz w:val="18"/>
                <w:szCs w:val="21"/>
                <w:vertAlign w:val="baseline"/>
                <w:lang w:val="en-US" w:eastAsia="zh-CN"/>
              </w:rPr>
            </w:pPr>
          </w:p>
        </w:tc>
        <w:tc>
          <w:tcPr>
            <w:tcW w:w="1138" w:type="dxa"/>
            <w:vAlign w:val="center"/>
          </w:tcPr>
          <w:p>
            <w:pPr>
              <w:numPr>
                <w:ilvl w:val="0"/>
                <w:numId w:val="0"/>
              </w:numPr>
              <w:jc w:val="left"/>
              <w:rPr>
                <w:rFonts w:hint="default"/>
                <w:sz w:val="18"/>
                <w:szCs w:val="21"/>
                <w:vertAlign w:val="baseline"/>
                <w:lang w:val="en-US" w:eastAsia="zh-CN"/>
              </w:rPr>
            </w:pPr>
            <w:r>
              <w:rPr>
                <w:rFonts w:hint="eastAsia"/>
                <w:sz w:val="18"/>
                <w:szCs w:val="21"/>
                <w:vertAlign w:val="baseline"/>
                <w:lang w:val="en-US" w:eastAsia="zh-CN"/>
              </w:rPr>
              <w:t>11.2生产经营场所和员工宿舍安全出口符合疏散要求禁止锁闭、封堵、疏散要求，禁止锁闭、封堵</w:t>
            </w:r>
          </w:p>
        </w:tc>
        <w:tc>
          <w:tcPr>
            <w:tcW w:w="4966" w:type="dxa"/>
            <w:vAlign w:val="center"/>
          </w:tcPr>
          <w:p>
            <w:p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《安全生产法》第四十二条第二款  生产经营场所和员工宿舍应当设有符合紧急疏散要求、标志明显、保持畅通的出口。禁止占用、锁闭、封堵生产经营场所或者员工宿舍的出口、疏散通道。</w:t>
            </w:r>
          </w:p>
        </w:tc>
        <w:tc>
          <w:tcPr>
            <w:tcW w:w="6286" w:type="dxa"/>
            <w:vAlign w:val="center"/>
          </w:tcPr>
          <w:p>
            <w:pPr>
              <w:numPr>
                <w:ilvl w:val="0"/>
                <w:numId w:val="0"/>
              </w:num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《安全生产法》第一百零二条 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w:t>
            </w:r>
          </w:p>
          <w:p>
            <w:pPr>
              <w:numPr>
                <w:ilvl w:val="0"/>
                <w:numId w:val="0"/>
              </w:numPr>
              <w:ind w:firstLine="360" w:firstLineChars="200"/>
              <w:rPr>
                <w:rFonts w:hint="eastAsia"/>
                <w:sz w:val="18"/>
                <w:szCs w:val="21"/>
                <w:vertAlign w:val="baseline"/>
                <w:lang w:val="en-US" w:eastAsia="zh-CN"/>
              </w:rPr>
            </w:pPr>
            <w:r>
              <w:rPr>
                <w:rFonts w:hint="eastAsia"/>
                <w:sz w:val="18"/>
                <w:szCs w:val="21"/>
                <w:vertAlign w:val="baseline"/>
                <w:lang w:val="en-US" w:eastAsia="zh-CN"/>
              </w:rPr>
              <w:t>......</w:t>
            </w:r>
          </w:p>
          <w:p>
            <w:pPr>
              <w:numPr>
                <w:ilvl w:val="0"/>
                <w:numId w:val="0"/>
              </w:numPr>
              <w:ind w:firstLine="180" w:firstLineChars="100"/>
              <w:rPr>
                <w:rFonts w:hint="default"/>
                <w:sz w:val="18"/>
                <w:szCs w:val="21"/>
                <w:vertAlign w:val="baseline"/>
                <w:lang w:val="en-US" w:eastAsia="zh-CN"/>
              </w:rPr>
            </w:pPr>
            <w:r>
              <w:rPr>
                <w:rFonts w:hint="eastAsia"/>
                <w:sz w:val="18"/>
                <w:szCs w:val="21"/>
                <w:vertAlign w:val="baseline"/>
                <w:lang w:val="en-US" w:eastAsia="zh-CN"/>
              </w:rPr>
              <w:t xml:space="preserve"> （二）生产经营场所和员工宿舍未设有符合紧急疏散需要、标志明显、保持畅通的出口、疏散通道，或者占用、锁闭、封堵生产经营场所或者员工宿舍出口、疏散通道的。</w:t>
            </w:r>
          </w:p>
        </w:tc>
        <w:tc>
          <w:tcPr>
            <w:tcW w:w="697" w:type="dxa"/>
            <w:vAlign w:val="center"/>
          </w:tcPr>
          <w:p>
            <w:pPr>
              <w:numPr>
                <w:ilvl w:val="0"/>
                <w:numId w:val="0"/>
              </w:numPr>
              <w:jc w:val="center"/>
              <w:rPr>
                <w:rFonts w:hint="default"/>
                <w:sz w:val="21"/>
                <w:szCs w:val="24"/>
                <w:vertAlign w:val="baseline"/>
                <w:lang w:val="en-US" w:eastAsia="zh-CN"/>
              </w:rPr>
            </w:pPr>
          </w:p>
        </w:tc>
        <w:tc>
          <w:tcPr>
            <w:tcW w:w="720" w:type="dxa"/>
            <w:vAlign w:val="center"/>
          </w:tcPr>
          <w:p>
            <w:pPr>
              <w:numPr>
                <w:ilvl w:val="0"/>
                <w:numId w:val="0"/>
              </w:numPr>
              <w:jc w:val="center"/>
              <w:rPr>
                <w:rFonts w:hint="default"/>
                <w:sz w:val="21"/>
                <w:szCs w:val="24"/>
                <w:vertAlign w:val="baseline"/>
                <w:lang w:val="en-US" w:eastAsia="zh-CN"/>
              </w:rPr>
            </w:pPr>
          </w:p>
        </w:tc>
        <w:tc>
          <w:tcPr>
            <w:tcW w:w="493" w:type="dxa"/>
            <w:vAlign w:val="center"/>
          </w:tcPr>
          <w:p>
            <w:pPr>
              <w:numPr>
                <w:ilvl w:val="0"/>
                <w:numId w:val="0"/>
              </w:numPr>
              <w:jc w:val="center"/>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trPr>
        <w:tc>
          <w:tcPr>
            <w:tcW w:w="441" w:type="dxa"/>
            <w:vAlign w:val="center"/>
          </w:tcPr>
          <w:p>
            <w:pPr>
              <w:numPr>
                <w:ilvl w:val="0"/>
                <w:numId w:val="0"/>
              </w:numPr>
              <w:ind w:left="0" w:leftChars="0" w:firstLine="0" w:firstLineChars="0"/>
              <w:jc w:val="center"/>
              <w:rPr>
                <w:rFonts w:hint="default"/>
                <w:sz w:val="21"/>
                <w:szCs w:val="24"/>
                <w:vertAlign w:val="baseline"/>
                <w:lang w:val="en-US" w:eastAsia="zh-CN"/>
              </w:rPr>
            </w:pPr>
            <w:r>
              <w:rPr>
                <w:rFonts w:hint="eastAsia"/>
                <w:sz w:val="21"/>
                <w:szCs w:val="24"/>
                <w:vertAlign w:val="baseline"/>
                <w:lang w:val="en-US" w:eastAsia="zh-CN"/>
              </w:rPr>
              <w:t>12</w:t>
            </w:r>
          </w:p>
        </w:tc>
        <w:tc>
          <w:tcPr>
            <w:tcW w:w="659" w:type="dxa"/>
            <w:vAlign w:val="center"/>
          </w:tcPr>
          <w:p>
            <w:pPr>
              <w:numPr>
                <w:ilvl w:val="0"/>
                <w:numId w:val="0"/>
              </w:numPr>
              <w:ind w:left="0" w:leftChars="0" w:firstLine="0" w:firstLineChars="0"/>
              <w:jc w:val="center"/>
              <w:rPr>
                <w:rFonts w:hint="eastAsia"/>
                <w:sz w:val="18"/>
                <w:szCs w:val="21"/>
                <w:vertAlign w:val="baseline"/>
                <w:lang w:val="en-US" w:eastAsia="zh-CN"/>
              </w:rPr>
            </w:pPr>
            <w:r>
              <w:rPr>
                <w:rFonts w:hint="eastAsia"/>
                <w:sz w:val="18"/>
                <w:szCs w:val="21"/>
                <w:vertAlign w:val="baseline"/>
                <w:lang w:val="en-US" w:eastAsia="zh-CN"/>
              </w:rPr>
              <w:t>危险作业安全管理情况</w:t>
            </w:r>
          </w:p>
        </w:tc>
        <w:tc>
          <w:tcPr>
            <w:tcW w:w="1138" w:type="dxa"/>
            <w:vAlign w:val="center"/>
          </w:tcPr>
          <w:p>
            <w:pPr>
              <w:numPr>
                <w:ilvl w:val="0"/>
                <w:numId w:val="0"/>
              </w:numPr>
              <w:jc w:val="left"/>
              <w:rPr>
                <w:rFonts w:hint="eastAsia"/>
                <w:sz w:val="18"/>
                <w:szCs w:val="21"/>
                <w:vertAlign w:val="baseline"/>
                <w:lang w:val="en-US" w:eastAsia="zh-CN"/>
              </w:rPr>
            </w:pPr>
            <w:r>
              <w:rPr>
                <w:rFonts w:hint="eastAsia"/>
                <w:sz w:val="18"/>
                <w:szCs w:val="21"/>
                <w:vertAlign w:val="baseline"/>
                <w:lang w:val="en-US" w:eastAsia="zh-CN"/>
              </w:rPr>
              <w:t>爆破、吊装以及国务院有关部门规定的其他危险作业安全管理</w:t>
            </w:r>
          </w:p>
        </w:tc>
        <w:tc>
          <w:tcPr>
            <w:tcW w:w="4966" w:type="dxa"/>
            <w:vAlign w:val="center"/>
          </w:tcPr>
          <w:p>
            <w:p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《安全生产法》第四十三条  生产管理经营单位进行爆破、吊装、动火、临时用电以及国务院应急管理部门会同国务院有关部门规定的其他危险作业，应当安排专门人员进行现场安全管理，确保操作规程的遵守和安全措施的落实。</w:t>
            </w:r>
          </w:p>
          <w:p>
            <w:pPr>
              <w:rPr>
                <w:rFonts w:hint="default"/>
                <w:sz w:val="18"/>
                <w:szCs w:val="21"/>
                <w:vertAlign w:val="baseline"/>
                <w:lang w:val="en-US" w:eastAsia="zh-CN"/>
              </w:rPr>
            </w:pPr>
          </w:p>
        </w:tc>
        <w:tc>
          <w:tcPr>
            <w:tcW w:w="6286" w:type="dxa"/>
            <w:vAlign w:val="center"/>
          </w:tcPr>
          <w:p>
            <w:pPr>
              <w:numPr>
                <w:ilvl w:val="0"/>
                <w:numId w:val="0"/>
              </w:num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《安全生产法》第一百零一条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numPr>
                <w:ilvl w:val="0"/>
                <w:numId w:val="0"/>
              </w:numPr>
              <w:ind w:firstLine="360" w:firstLineChars="200"/>
              <w:rPr>
                <w:rFonts w:hint="default"/>
                <w:sz w:val="18"/>
                <w:szCs w:val="21"/>
                <w:vertAlign w:val="baseline"/>
                <w:lang w:val="en-US" w:eastAsia="zh-CN"/>
              </w:rPr>
            </w:pPr>
            <w:r>
              <w:rPr>
                <w:rFonts w:hint="eastAsia"/>
                <w:sz w:val="18"/>
                <w:szCs w:val="21"/>
                <w:vertAlign w:val="baseline"/>
                <w:lang w:val="en-US" w:eastAsia="zh-CN"/>
              </w:rPr>
              <w:t>（三）</w:t>
            </w:r>
            <w:r>
              <w:rPr>
                <w:rFonts w:hint="default"/>
                <w:sz w:val="18"/>
                <w:szCs w:val="21"/>
                <w:vertAlign w:val="baseline"/>
                <w:lang w:val="en-US" w:eastAsia="zh-CN"/>
              </w:rPr>
              <w:t>进行爆破、吊装</w:t>
            </w:r>
            <w:r>
              <w:rPr>
                <w:rFonts w:hint="eastAsia"/>
                <w:sz w:val="18"/>
                <w:szCs w:val="21"/>
                <w:vertAlign w:val="baseline"/>
                <w:lang w:val="en-US" w:eastAsia="zh-CN"/>
              </w:rPr>
              <w:t>、动火、临时用电</w:t>
            </w:r>
            <w:r>
              <w:rPr>
                <w:rFonts w:hint="default"/>
                <w:sz w:val="18"/>
                <w:szCs w:val="21"/>
                <w:vertAlign w:val="baseline"/>
                <w:lang w:val="en-US" w:eastAsia="zh-CN"/>
              </w:rPr>
              <w:t>以及国务院</w:t>
            </w:r>
            <w:r>
              <w:rPr>
                <w:rFonts w:hint="eastAsia"/>
                <w:sz w:val="18"/>
                <w:szCs w:val="21"/>
                <w:vertAlign w:val="baseline"/>
                <w:lang w:val="en-US" w:eastAsia="zh-CN"/>
              </w:rPr>
              <w:t>应急</w:t>
            </w:r>
            <w:r>
              <w:rPr>
                <w:rFonts w:hint="default"/>
                <w:sz w:val="18"/>
                <w:szCs w:val="21"/>
                <w:vertAlign w:val="baseline"/>
                <w:lang w:val="en-US" w:eastAsia="zh-CN"/>
              </w:rPr>
              <w:t>管理部门会同国务院有关部门规定的其他危险作业</w:t>
            </w:r>
            <w:r>
              <w:rPr>
                <w:rFonts w:hint="eastAsia"/>
                <w:sz w:val="18"/>
                <w:szCs w:val="21"/>
                <w:vertAlign w:val="baseline"/>
                <w:lang w:val="en-US" w:eastAsia="zh-CN"/>
              </w:rPr>
              <w:t>，</w:t>
            </w:r>
            <w:r>
              <w:rPr>
                <w:rFonts w:hint="default"/>
                <w:sz w:val="18"/>
                <w:szCs w:val="21"/>
                <w:vertAlign w:val="baseline"/>
                <w:lang w:val="en-US" w:eastAsia="zh-CN"/>
              </w:rPr>
              <w:t>未安排专门人员进行现场安全管理的</w:t>
            </w:r>
            <w:r>
              <w:rPr>
                <w:rFonts w:hint="eastAsia"/>
                <w:sz w:val="18"/>
                <w:szCs w:val="21"/>
                <w:vertAlign w:val="baseline"/>
                <w:lang w:val="en-US" w:eastAsia="zh-CN"/>
              </w:rPr>
              <w:t>；......</w:t>
            </w:r>
          </w:p>
        </w:tc>
        <w:tc>
          <w:tcPr>
            <w:tcW w:w="697" w:type="dxa"/>
            <w:vAlign w:val="center"/>
          </w:tcPr>
          <w:p>
            <w:pPr>
              <w:numPr>
                <w:ilvl w:val="0"/>
                <w:numId w:val="0"/>
              </w:numPr>
              <w:jc w:val="center"/>
              <w:rPr>
                <w:rFonts w:hint="default"/>
                <w:sz w:val="21"/>
                <w:szCs w:val="24"/>
                <w:vertAlign w:val="baseline"/>
                <w:lang w:val="en-US" w:eastAsia="zh-CN"/>
              </w:rPr>
            </w:pPr>
          </w:p>
        </w:tc>
        <w:tc>
          <w:tcPr>
            <w:tcW w:w="720" w:type="dxa"/>
            <w:vAlign w:val="center"/>
          </w:tcPr>
          <w:p>
            <w:pPr>
              <w:numPr>
                <w:ilvl w:val="0"/>
                <w:numId w:val="0"/>
              </w:numPr>
              <w:jc w:val="center"/>
              <w:rPr>
                <w:rFonts w:hint="default"/>
                <w:sz w:val="21"/>
                <w:szCs w:val="24"/>
                <w:vertAlign w:val="baseline"/>
                <w:lang w:val="en-US" w:eastAsia="zh-CN"/>
              </w:rPr>
            </w:pPr>
          </w:p>
        </w:tc>
        <w:tc>
          <w:tcPr>
            <w:tcW w:w="493" w:type="dxa"/>
            <w:vAlign w:val="center"/>
          </w:tcPr>
          <w:p>
            <w:pPr>
              <w:numPr>
                <w:ilvl w:val="0"/>
                <w:numId w:val="0"/>
              </w:numPr>
              <w:jc w:val="center"/>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441" w:type="dxa"/>
            <w:vAlign w:val="center"/>
          </w:tcPr>
          <w:p>
            <w:pPr>
              <w:numPr>
                <w:ilvl w:val="0"/>
                <w:numId w:val="0"/>
              </w:numPr>
              <w:ind w:left="0" w:leftChars="0" w:firstLine="0" w:firstLineChars="0"/>
              <w:jc w:val="center"/>
              <w:rPr>
                <w:rFonts w:hint="default"/>
                <w:sz w:val="21"/>
                <w:szCs w:val="24"/>
                <w:vertAlign w:val="baseline"/>
                <w:lang w:val="en-US" w:eastAsia="zh-CN"/>
              </w:rPr>
            </w:pPr>
            <w:r>
              <w:rPr>
                <w:rFonts w:hint="eastAsia"/>
                <w:sz w:val="21"/>
                <w:szCs w:val="24"/>
                <w:vertAlign w:val="baseline"/>
                <w:lang w:val="en-US" w:eastAsia="zh-CN"/>
              </w:rPr>
              <w:t>13</w:t>
            </w:r>
          </w:p>
        </w:tc>
        <w:tc>
          <w:tcPr>
            <w:tcW w:w="659" w:type="dxa"/>
            <w:vAlign w:val="center"/>
          </w:tcPr>
          <w:p>
            <w:pPr>
              <w:numPr>
                <w:ilvl w:val="0"/>
                <w:numId w:val="0"/>
              </w:numPr>
              <w:ind w:left="0" w:leftChars="0" w:firstLine="0" w:firstLineChars="0"/>
              <w:jc w:val="center"/>
              <w:rPr>
                <w:rFonts w:hint="eastAsia"/>
                <w:sz w:val="18"/>
                <w:szCs w:val="21"/>
                <w:vertAlign w:val="baseline"/>
                <w:lang w:val="en-US" w:eastAsia="zh-CN"/>
              </w:rPr>
            </w:pPr>
            <w:r>
              <w:rPr>
                <w:rFonts w:hint="eastAsia"/>
                <w:sz w:val="18"/>
                <w:szCs w:val="21"/>
                <w:vertAlign w:val="baseline"/>
                <w:lang w:val="en-US" w:eastAsia="zh-CN"/>
              </w:rPr>
              <w:t>劳动防护用品管理情况</w:t>
            </w:r>
          </w:p>
        </w:tc>
        <w:tc>
          <w:tcPr>
            <w:tcW w:w="1138" w:type="dxa"/>
            <w:vAlign w:val="center"/>
          </w:tcPr>
          <w:p>
            <w:pPr>
              <w:numPr>
                <w:ilvl w:val="0"/>
                <w:numId w:val="0"/>
              </w:numPr>
              <w:jc w:val="center"/>
              <w:rPr>
                <w:rFonts w:hint="eastAsia"/>
                <w:sz w:val="18"/>
                <w:szCs w:val="21"/>
                <w:vertAlign w:val="baseline"/>
                <w:lang w:val="en-US" w:eastAsia="zh-CN"/>
              </w:rPr>
            </w:pPr>
            <w:r>
              <w:rPr>
                <w:rFonts w:hint="eastAsia"/>
                <w:sz w:val="18"/>
                <w:szCs w:val="21"/>
                <w:vertAlign w:val="baseline"/>
                <w:lang w:val="en-US" w:eastAsia="zh-CN"/>
              </w:rPr>
              <w:t>提供符合国家标准、行业标准的劳动防护用品</w:t>
            </w:r>
          </w:p>
        </w:tc>
        <w:tc>
          <w:tcPr>
            <w:tcW w:w="4966" w:type="dxa"/>
            <w:vAlign w:val="center"/>
          </w:tcPr>
          <w:p>
            <w:pPr>
              <w:ind w:firstLine="360" w:firstLineChars="200"/>
              <w:rPr>
                <w:rFonts w:hint="default"/>
                <w:sz w:val="18"/>
                <w:szCs w:val="21"/>
                <w:vertAlign w:val="baseline"/>
                <w:lang w:val="en-US" w:eastAsia="zh-CN"/>
              </w:rPr>
            </w:pPr>
            <w:r>
              <w:rPr>
                <w:rFonts w:hint="eastAsia"/>
                <w:sz w:val="18"/>
                <w:szCs w:val="21"/>
                <w:vertAlign w:val="baseline"/>
                <w:lang w:val="en-US" w:eastAsia="zh-CN"/>
              </w:rPr>
              <w:t>《安全生产法》第四十二条 生产经营单位必须为从业人员提供符合国家标准或者行业标准的劳动防护用品，并监督、教育从业人员按照使用规则佩戴、使用。</w:t>
            </w:r>
          </w:p>
        </w:tc>
        <w:tc>
          <w:tcPr>
            <w:tcW w:w="6286" w:type="dxa"/>
            <w:vAlign w:val="center"/>
          </w:tcPr>
          <w:p>
            <w:pPr>
              <w:numPr>
                <w:ilvl w:val="0"/>
                <w:numId w:val="0"/>
              </w:num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numPr>
                <w:ilvl w:val="0"/>
                <w:numId w:val="0"/>
              </w:numPr>
              <w:ind w:firstLine="180" w:firstLineChars="100"/>
              <w:rPr>
                <w:rFonts w:hint="default"/>
                <w:sz w:val="18"/>
                <w:szCs w:val="21"/>
                <w:vertAlign w:val="baseline"/>
                <w:lang w:val="en-US" w:eastAsia="zh-CN"/>
              </w:rPr>
            </w:pPr>
            <w:r>
              <w:rPr>
                <w:rFonts w:hint="eastAsia"/>
                <w:sz w:val="18"/>
                <w:szCs w:val="21"/>
                <w:vertAlign w:val="baseline"/>
                <w:lang w:val="en-US" w:eastAsia="zh-CN"/>
              </w:rPr>
              <w:t>（五）未为从业人员提供符合国家标准或者行业标准的劳动防护用品的；......</w:t>
            </w:r>
          </w:p>
        </w:tc>
        <w:tc>
          <w:tcPr>
            <w:tcW w:w="697" w:type="dxa"/>
            <w:vAlign w:val="center"/>
          </w:tcPr>
          <w:p>
            <w:pPr>
              <w:numPr>
                <w:ilvl w:val="0"/>
                <w:numId w:val="0"/>
              </w:numPr>
              <w:jc w:val="center"/>
              <w:rPr>
                <w:rFonts w:hint="default"/>
                <w:sz w:val="21"/>
                <w:szCs w:val="24"/>
                <w:vertAlign w:val="baseline"/>
                <w:lang w:val="en-US" w:eastAsia="zh-CN"/>
              </w:rPr>
            </w:pPr>
          </w:p>
        </w:tc>
        <w:tc>
          <w:tcPr>
            <w:tcW w:w="720" w:type="dxa"/>
            <w:vAlign w:val="center"/>
          </w:tcPr>
          <w:p>
            <w:pPr>
              <w:numPr>
                <w:ilvl w:val="0"/>
                <w:numId w:val="0"/>
              </w:numPr>
              <w:jc w:val="center"/>
              <w:rPr>
                <w:rFonts w:hint="default"/>
                <w:sz w:val="21"/>
                <w:szCs w:val="24"/>
                <w:vertAlign w:val="baseline"/>
                <w:lang w:val="en-US" w:eastAsia="zh-CN"/>
              </w:rPr>
            </w:pPr>
          </w:p>
        </w:tc>
        <w:tc>
          <w:tcPr>
            <w:tcW w:w="493" w:type="dxa"/>
            <w:vAlign w:val="center"/>
          </w:tcPr>
          <w:p>
            <w:pPr>
              <w:numPr>
                <w:ilvl w:val="0"/>
                <w:numId w:val="0"/>
              </w:numPr>
              <w:jc w:val="center"/>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441" w:type="dxa"/>
            <w:vMerge w:val="restart"/>
            <w:vAlign w:val="center"/>
          </w:tcPr>
          <w:p>
            <w:pPr>
              <w:numPr>
                <w:ilvl w:val="0"/>
                <w:numId w:val="0"/>
              </w:numPr>
              <w:ind w:left="0" w:leftChars="0" w:firstLine="0" w:firstLineChars="0"/>
              <w:jc w:val="center"/>
              <w:rPr>
                <w:rFonts w:hint="default"/>
                <w:sz w:val="21"/>
                <w:szCs w:val="24"/>
                <w:vertAlign w:val="baseline"/>
                <w:lang w:val="en-US" w:eastAsia="zh-CN"/>
              </w:rPr>
            </w:pPr>
            <w:r>
              <w:rPr>
                <w:rFonts w:hint="eastAsia"/>
                <w:sz w:val="21"/>
                <w:szCs w:val="24"/>
                <w:vertAlign w:val="baseline"/>
                <w:lang w:val="en-US" w:eastAsia="zh-CN"/>
              </w:rPr>
              <w:t>14</w:t>
            </w:r>
          </w:p>
        </w:tc>
        <w:tc>
          <w:tcPr>
            <w:tcW w:w="659" w:type="dxa"/>
            <w:vMerge w:val="restart"/>
            <w:vAlign w:val="center"/>
          </w:tcPr>
          <w:p>
            <w:pPr>
              <w:numPr>
                <w:ilvl w:val="0"/>
                <w:numId w:val="0"/>
              </w:numPr>
              <w:ind w:left="0" w:leftChars="0" w:firstLine="0" w:firstLineChars="0"/>
              <w:jc w:val="center"/>
              <w:rPr>
                <w:rFonts w:hint="eastAsia"/>
                <w:sz w:val="18"/>
                <w:szCs w:val="21"/>
                <w:vertAlign w:val="baseline"/>
                <w:lang w:val="en-US" w:eastAsia="zh-CN"/>
              </w:rPr>
            </w:pPr>
            <w:r>
              <w:rPr>
                <w:rFonts w:hint="eastAsia"/>
                <w:sz w:val="18"/>
                <w:szCs w:val="21"/>
                <w:vertAlign w:val="baseline"/>
                <w:lang w:val="en-US" w:eastAsia="zh-CN"/>
              </w:rPr>
              <w:t>生产经营项目、场所、设备发包、出租管理情况</w:t>
            </w:r>
          </w:p>
        </w:tc>
        <w:tc>
          <w:tcPr>
            <w:tcW w:w="1138" w:type="dxa"/>
            <w:vAlign w:val="center"/>
          </w:tcPr>
          <w:p>
            <w:pPr>
              <w:numPr>
                <w:ilvl w:val="0"/>
                <w:numId w:val="0"/>
              </w:numPr>
              <w:jc w:val="center"/>
              <w:rPr>
                <w:rFonts w:hint="default"/>
                <w:sz w:val="18"/>
                <w:szCs w:val="21"/>
                <w:vertAlign w:val="baseline"/>
                <w:lang w:val="en-US" w:eastAsia="zh-CN"/>
              </w:rPr>
            </w:pPr>
            <w:r>
              <w:rPr>
                <w:rFonts w:hint="eastAsia"/>
                <w:sz w:val="18"/>
                <w:szCs w:val="21"/>
                <w:vertAlign w:val="baseline"/>
                <w:lang w:val="en-US" w:eastAsia="zh-CN"/>
              </w:rPr>
              <w:t>14.1出租给具备条件或者资质的单位或者个人</w:t>
            </w:r>
          </w:p>
        </w:tc>
        <w:tc>
          <w:tcPr>
            <w:tcW w:w="4966" w:type="dxa"/>
            <w:vAlign w:val="center"/>
          </w:tcPr>
          <w:p>
            <w:p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《安全生产法》第四十九条第一款  生产经营单位不得将生产经营项目、场所、设备发包或者出租给不具备安全生产条件或者相应资质的单位或者个人。</w:t>
            </w:r>
          </w:p>
          <w:p>
            <w:pPr>
              <w:rPr>
                <w:rFonts w:hint="eastAsia"/>
                <w:sz w:val="18"/>
                <w:szCs w:val="21"/>
                <w:vertAlign w:val="baseline"/>
                <w:lang w:val="en-US" w:eastAsia="zh-CN"/>
              </w:rPr>
            </w:pPr>
            <w:r>
              <w:rPr>
                <w:rFonts w:hint="eastAsia"/>
                <w:sz w:val="18"/>
                <w:szCs w:val="21"/>
                <w:vertAlign w:val="baseline"/>
                <w:lang w:val="en-US" w:eastAsia="zh-CN"/>
              </w:rPr>
              <w:t xml:space="preserve"> </w:t>
            </w:r>
          </w:p>
        </w:tc>
        <w:tc>
          <w:tcPr>
            <w:tcW w:w="6286" w:type="dxa"/>
            <w:vAlign w:val="center"/>
          </w:tcPr>
          <w:p>
            <w:pPr>
              <w:numPr>
                <w:ilvl w:val="0"/>
                <w:numId w:val="0"/>
              </w:num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《安全生产法》第一百零三条第一款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tc>
        <w:tc>
          <w:tcPr>
            <w:tcW w:w="697" w:type="dxa"/>
            <w:vAlign w:val="center"/>
          </w:tcPr>
          <w:p>
            <w:pPr>
              <w:numPr>
                <w:ilvl w:val="0"/>
                <w:numId w:val="0"/>
              </w:numPr>
              <w:jc w:val="center"/>
              <w:rPr>
                <w:rFonts w:hint="default"/>
                <w:sz w:val="21"/>
                <w:szCs w:val="24"/>
                <w:vertAlign w:val="baseline"/>
                <w:lang w:val="en-US" w:eastAsia="zh-CN"/>
              </w:rPr>
            </w:pPr>
          </w:p>
        </w:tc>
        <w:tc>
          <w:tcPr>
            <w:tcW w:w="720" w:type="dxa"/>
            <w:vAlign w:val="center"/>
          </w:tcPr>
          <w:p>
            <w:pPr>
              <w:numPr>
                <w:ilvl w:val="0"/>
                <w:numId w:val="0"/>
              </w:numPr>
              <w:jc w:val="center"/>
              <w:rPr>
                <w:rFonts w:hint="default"/>
                <w:sz w:val="21"/>
                <w:szCs w:val="24"/>
                <w:vertAlign w:val="baseline"/>
                <w:lang w:val="en-US" w:eastAsia="zh-CN"/>
              </w:rPr>
            </w:pPr>
          </w:p>
        </w:tc>
        <w:tc>
          <w:tcPr>
            <w:tcW w:w="493" w:type="dxa"/>
            <w:vAlign w:val="center"/>
          </w:tcPr>
          <w:p>
            <w:pPr>
              <w:numPr>
                <w:ilvl w:val="0"/>
                <w:numId w:val="0"/>
              </w:numPr>
              <w:jc w:val="center"/>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441" w:type="dxa"/>
            <w:vMerge w:val="continue"/>
            <w:vAlign w:val="center"/>
          </w:tcPr>
          <w:p>
            <w:pPr>
              <w:numPr>
                <w:ilvl w:val="0"/>
                <w:numId w:val="0"/>
              </w:numPr>
              <w:ind w:left="0" w:leftChars="0" w:firstLine="0" w:firstLineChars="0"/>
              <w:jc w:val="center"/>
              <w:rPr>
                <w:rFonts w:hint="eastAsia"/>
                <w:sz w:val="21"/>
                <w:szCs w:val="24"/>
                <w:vertAlign w:val="baseline"/>
                <w:lang w:val="en-US" w:eastAsia="zh-CN"/>
              </w:rPr>
            </w:pPr>
          </w:p>
        </w:tc>
        <w:tc>
          <w:tcPr>
            <w:tcW w:w="659" w:type="dxa"/>
            <w:vMerge w:val="continue"/>
            <w:vAlign w:val="center"/>
          </w:tcPr>
          <w:p>
            <w:pPr>
              <w:numPr>
                <w:ilvl w:val="0"/>
                <w:numId w:val="0"/>
              </w:numPr>
              <w:ind w:left="0" w:leftChars="0" w:firstLine="0" w:firstLineChars="0"/>
              <w:jc w:val="center"/>
              <w:rPr>
                <w:rFonts w:hint="eastAsia"/>
                <w:sz w:val="18"/>
                <w:szCs w:val="21"/>
                <w:vertAlign w:val="baseline"/>
                <w:lang w:val="en-US" w:eastAsia="zh-CN"/>
              </w:rPr>
            </w:pPr>
          </w:p>
        </w:tc>
        <w:tc>
          <w:tcPr>
            <w:tcW w:w="1138" w:type="dxa"/>
            <w:vAlign w:val="center"/>
          </w:tcPr>
          <w:p>
            <w:pPr>
              <w:numPr>
                <w:ilvl w:val="0"/>
                <w:numId w:val="0"/>
              </w:numPr>
              <w:jc w:val="left"/>
              <w:rPr>
                <w:rFonts w:hint="default"/>
                <w:sz w:val="18"/>
                <w:szCs w:val="21"/>
                <w:vertAlign w:val="baseline"/>
                <w:lang w:val="en-US" w:eastAsia="zh-CN"/>
              </w:rPr>
            </w:pPr>
            <w:r>
              <w:rPr>
                <w:rFonts w:hint="eastAsia"/>
                <w:sz w:val="18"/>
                <w:szCs w:val="21"/>
                <w:vertAlign w:val="baseline"/>
                <w:lang w:val="en-US" w:eastAsia="zh-CN"/>
              </w:rPr>
              <w:t>14.2安全管理协议和发包方统一协调管理</w:t>
            </w:r>
          </w:p>
        </w:tc>
        <w:tc>
          <w:tcPr>
            <w:tcW w:w="4966" w:type="dxa"/>
            <w:vAlign w:val="center"/>
          </w:tcPr>
          <w:p>
            <w:pPr>
              <w:ind w:firstLine="360" w:firstLineChars="200"/>
              <w:rPr>
                <w:rFonts w:hint="default"/>
                <w:sz w:val="18"/>
                <w:szCs w:val="21"/>
                <w:vertAlign w:val="baseline"/>
                <w:lang w:val="en-US" w:eastAsia="zh-CN"/>
              </w:rPr>
            </w:pPr>
            <w:r>
              <w:rPr>
                <w:rFonts w:hint="eastAsia"/>
                <w:sz w:val="18"/>
                <w:szCs w:val="21"/>
                <w:vertAlign w:val="baseline"/>
                <w:lang w:val="en-US" w:eastAsia="zh-CN"/>
              </w:rPr>
              <w:t>《安全生产法》第四十九条第二款  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tc>
        <w:tc>
          <w:tcPr>
            <w:tcW w:w="6286" w:type="dxa"/>
            <w:vAlign w:val="center"/>
          </w:tcPr>
          <w:p>
            <w:pPr>
              <w:numPr>
                <w:ilvl w:val="0"/>
                <w:numId w:val="0"/>
              </w:num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《安全生产法》第一百零三条第二款  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可以处一万元以下的罚款；逾期未改正的，责令停产停业整顿。</w:t>
            </w:r>
          </w:p>
        </w:tc>
        <w:tc>
          <w:tcPr>
            <w:tcW w:w="697" w:type="dxa"/>
            <w:vAlign w:val="center"/>
          </w:tcPr>
          <w:p>
            <w:pPr>
              <w:numPr>
                <w:ilvl w:val="0"/>
                <w:numId w:val="0"/>
              </w:numPr>
              <w:jc w:val="center"/>
              <w:rPr>
                <w:rFonts w:hint="default"/>
                <w:sz w:val="21"/>
                <w:szCs w:val="24"/>
                <w:vertAlign w:val="baseline"/>
                <w:lang w:val="en-US" w:eastAsia="zh-CN"/>
              </w:rPr>
            </w:pPr>
          </w:p>
        </w:tc>
        <w:tc>
          <w:tcPr>
            <w:tcW w:w="720" w:type="dxa"/>
            <w:vAlign w:val="center"/>
          </w:tcPr>
          <w:p>
            <w:pPr>
              <w:numPr>
                <w:ilvl w:val="0"/>
                <w:numId w:val="0"/>
              </w:numPr>
              <w:jc w:val="center"/>
              <w:rPr>
                <w:rFonts w:hint="default"/>
                <w:sz w:val="21"/>
                <w:szCs w:val="24"/>
                <w:vertAlign w:val="baseline"/>
                <w:lang w:val="en-US" w:eastAsia="zh-CN"/>
              </w:rPr>
            </w:pPr>
          </w:p>
        </w:tc>
        <w:tc>
          <w:tcPr>
            <w:tcW w:w="493" w:type="dxa"/>
            <w:vAlign w:val="center"/>
          </w:tcPr>
          <w:p>
            <w:pPr>
              <w:numPr>
                <w:ilvl w:val="0"/>
                <w:numId w:val="0"/>
              </w:numPr>
              <w:jc w:val="center"/>
              <w:rPr>
                <w:rFonts w:hint="default"/>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9" w:hRule="atLeast"/>
        </w:trPr>
        <w:tc>
          <w:tcPr>
            <w:tcW w:w="441" w:type="dxa"/>
            <w:vAlign w:val="center"/>
          </w:tcPr>
          <w:p>
            <w:pPr>
              <w:numPr>
                <w:ilvl w:val="0"/>
                <w:numId w:val="0"/>
              </w:numPr>
              <w:ind w:left="0" w:leftChars="0" w:firstLine="0" w:firstLineChars="0"/>
              <w:jc w:val="center"/>
              <w:rPr>
                <w:rFonts w:hint="default"/>
                <w:sz w:val="21"/>
                <w:szCs w:val="24"/>
                <w:vertAlign w:val="baseline"/>
                <w:lang w:val="en-US" w:eastAsia="zh-CN"/>
              </w:rPr>
            </w:pPr>
            <w:r>
              <w:rPr>
                <w:rFonts w:hint="eastAsia"/>
                <w:sz w:val="21"/>
                <w:szCs w:val="24"/>
                <w:vertAlign w:val="baseline"/>
                <w:lang w:val="en-US" w:eastAsia="zh-CN"/>
              </w:rPr>
              <w:t>15</w:t>
            </w:r>
          </w:p>
        </w:tc>
        <w:tc>
          <w:tcPr>
            <w:tcW w:w="659" w:type="dxa"/>
            <w:vAlign w:val="center"/>
          </w:tcPr>
          <w:p>
            <w:pPr>
              <w:numPr>
                <w:ilvl w:val="0"/>
                <w:numId w:val="0"/>
              </w:numPr>
              <w:ind w:left="0" w:leftChars="0" w:firstLine="0" w:firstLineChars="0"/>
              <w:jc w:val="left"/>
              <w:rPr>
                <w:rFonts w:hint="eastAsia"/>
                <w:sz w:val="18"/>
                <w:szCs w:val="21"/>
                <w:vertAlign w:val="baseline"/>
                <w:lang w:val="en-US" w:eastAsia="zh-CN"/>
              </w:rPr>
            </w:pPr>
            <w:r>
              <w:rPr>
                <w:rFonts w:hint="eastAsia"/>
                <w:sz w:val="18"/>
                <w:szCs w:val="21"/>
                <w:vertAlign w:val="baseline"/>
                <w:lang w:val="en-US" w:eastAsia="zh-CN"/>
              </w:rPr>
              <w:t>落实事故防范和整改措施情况</w:t>
            </w:r>
          </w:p>
        </w:tc>
        <w:tc>
          <w:tcPr>
            <w:tcW w:w="1138" w:type="dxa"/>
            <w:vAlign w:val="center"/>
          </w:tcPr>
          <w:p>
            <w:pPr>
              <w:numPr>
                <w:ilvl w:val="0"/>
                <w:numId w:val="0"/>
              </w:numPr>
              <w:jc w:val="center"/>
              <w:rPr>
                <w:rFonts w:hint="default"/>
                <w:sz w:val="18"/>
                <w:szCs w:val="21"/>
                <w:vertAlign w:val="baseline"/>
                <w:lang w:val="en-US" w:eastAsia="zh-CN"/>
              </w:rPr>
            </w:pPr>
            <w:r>
              <w:rPr>
                <w:rFonts w:hint="eastAsia"/>
                <w:sz w:val="18"/>
                <w:szCs w:val="21"/>
                <w:vertAlign w:val="baseline"/>
                <w:lang w:val="en-US" w:eastAsia="zh-CN"/>
              </w:rPr>
              <w:t>根据本部门职责，对照事故调查报告的事故防范和整改措施，依法开展监督检查</w:t>
            </w:r>
          </w:p>
        </w:tc>
        <w:tc>
          <w:tcPr>
            <w:tcW w:w="4966" w:type="dxa"/>
            <w:vAlign w:val="center"/>
          </w:tcPr>
          <w:p>
            <w:pPr>
              <w:ind w:firstLine="360" w:firstLineChars="200"/>
              <w:rPr>
                <w:rFonts w:hint="eastAsia"/>
                <w:sz w:val="18"/>
                <w:szCs w:val="21"/>
                <w:vertAlign w:val="baseline"/>
                <w:lang w:val="en-US" w:eastAsia="zh-CN"/>
              </w:rPr>
            </w:pPr>
            <w:r>
              <w:rPr>
                <w:rFonts w:hint="eastAsia"/>
                <w:sz w:val="18"/>
                <w:szCs w:val="21"/>
                <w:vertAlign w:val="baseline"/>
                <w:lang w:val="en-US" w:eastAsia="zh-CN"/>
              </w:rPr>
              <w:t>《安全生产法》第八十六条第  事故调查处理应当照科学严谨、依法依规、实事求是、注重实效的原则，及时、准确地查清事故原因，查眀事故性质和责任，评估应急处理工作，总结事故教训，提出整改措施，并对事故责任单位和人员提出处理建议。事故调查报告应当依法及时向社会公布。事故调查和处理的具体办法由国务院制定。事故发生单位应当及时全面落实整改措施，负有安全生产监督管理职责的部门应当加强监督检查。</w:t>
            </w:r>
          </w:p>
          <w:p>
            <w:pPr>
              <w:ind w:firstLine="360" w:firstLineChars="200"/>
              <w:rPr>
                <w:rFonts w:hint="default"/>
                <w:sz w:val="18"/>
                <w:szCs w:val="21"/>
                <w:vertAlign w:val="baseline"/>
                <w:lang w:val="en-US" w:eastAsia="zh-CN"/>
              </w:rPr>
            </w:pPr>
            <w:r>
              <w:rPr>
                <w:rFonts w:hint="eastAsia"/>
                <w:sz w:val="18"/>
                <w:szCs w:val="21"/>
                <w:vertAlign w:val="baseline"/>
                <w:lang w:val="en-US" w:eastAsia="zh-CN"/>
              </w:rPr>
              <w:t>《生产安全事故报告和调查处理条例》第三十六条 事故发生单位应当认真吸取事故教训，落实防范和整改措施，防止事故再次发生。防范和整改措施的落实情况应当接受工会和职工的监督。安全生产监督管理部门和负有安全生产监督管理职责的有关部门应当对事故发生单位落实防范和整改措施的情况进行监督检査。</w:t>
            </w:r>
          </w:p>
        </w:tc>
        <w:tc>
          <w:tcPr>
            <w:tcW w:w="6286" w:type="dxa"/>
            <w:vAlign w:val="center"/>
          </w:tcPr>
          <w:p>
            <w:pPr>
              <w:numPr>
                <w:ilvl w:val="0"/>
                <w:numId w:val="0"/>
              </w:numPr>
              <w:ind w:firstLine="360" w:firstLineChars="200"/>
              <w:rPr>
                <w:rFonts w:hint="eastAsia"/>
                <w:sz w:val="18"/>
                <w:szCs w:val="21"/>
                <w:vertAlign w:val="baseline"/>
                <w:lang w:val="en-US" w:eastAsia="zh-CN"/>
              </w:rPr>
            </w:pPr>
            <w:r>
              <w:rPr>
                <w:rFonts w:hint="eastAsia"/>
                <w:sz w:val="18"/>
                <w:szCs w:val="21"/>
                <w:vertAlign w:val="baseline"/>
                <w:lang w:val="en-US" w:eastAsia="zh-CN"/>
              </w:rPr>
              <w:t>对发现的违法行为和事故隐患，依照相关安全生产法律法规追究法律责任，并依法从重处理。</w:t>
            </w:r>
          </w:p>
        </w:tc>
        <w:tc>
          <w:tcPr>
            <w:tcW w:w="697" w:type="dxa"/>
            <w:vAlign w:val="center"/>
          </w:tcPr>
          <w:p>
            <w:pPr>
              <w:numPr>
                <w:ilvl w:val="0"/>
                <w:numId w:val="0"/>
              </w:numPr>
              <w:jc w:val="center"/>
              <w:rPr>
                <w:rFonts w:hint="default"/>
                <w:sz w:val="21"/>
                <w:szCs w:val="24"/>
                <w:vertAlign w:val="baseline"/>
                <w:lang w:val="en-US" w:eastAsia="zh-CN"/>
              </w:rPr>
            </w:pPr>
          </w:p>
        </w:tc>
        <w:tc>
          <w:tcPr>
            <w:tcW w:w="720" w:type="dxa"/>
            <w:vAlign w:val="center"/>
          </w:tcPr>
          <w:p>
            <w:pPr>
              <w:numPr>
                <w:ilvl w:val="0"/>
                <w:numId w:val="0"/>
              </w:numPr>
              <w:jc w:val="center"/>
              <w:rPr>
                <w:rFonts w:hint="default"/>
                <w:sz w:val="21"/>
                <w:szCs w:val="24"/>
                <w:vertAlign w:val="baseline"/>
                <w:lang w:val="en-US" w:eastAsia="zh-CN"/>
              </w:rPr>
            </w:pPr>
          </w:p>
        </w:tc>
        <w:tc>
          <w:tcPr>
            <w:tcW w:w="493" w:type="dxa"/>
            <w:vAlign w:val="center"/>
          </w:tcPr>
          <w:p>
            <w:pPr>
              <w:numPr>
                <w:ilvl w:val="0"/>
                <w:numId w:val="0"/>
              </w:numPr>
              <w:jc w:val="center"/>
              <w:rPr>
                <w:rFonts w:hint="default"/>
                <w:sz w:val="21"/>
                <w:szCs w:val="24"/>
                <w:vertAlign w:val="baseline"/>
                <w:lang w:val="en-US" w:eastAsia="zh-CN"/>
              </w:rPr>
            </w:pPr>
          </w:p>
        </w:tc>
      </w:tr>
    </w:tbl>
    <w:p>
      <w:pPr>
        <w:numPr>
          <w:ilvl w:val="0"/>
          <w:numId w:val="0"/>
        </w:numPr>
        <w:jc w:val="center"/>
        <w:rPr>
          <w:rFonts w:hint="default"/>
          <w:sz w:val="40"/>
          <w:szCs w:val="48"/>
          <w:lang w:val="en-US" w:eastAsia="zh-CN"/>
        </w:rPr>
      </w:pPr>
    </w:p>
    <w:p>
      <w:pPr>
        <w:numPr>
          <w:ilvl w:val="0"/>
          <w:numId w:val="0"/>
        </w:numPr>
        <w:jc w:val="center"/>
        <w:rPr>
          <w:rFonts w:hint="default"/>
          <w:sz w:val="40"/>
          <w:szCs w:val="48"/>
          <w:lang w:val="en-US" w:eastAsia="zh-CN"/>
        </w:rPr>
      </w:pPr>
    </w:p>
    <w:p>
      <w:pPr>
        <w:numPr>
          <w:ilvl w:val="0"/>
          <w:numId w:val="0"/>
        </w:numPr>
        <w:jc w:val="center"/>
        <w:rPr>
          <w:rFonts w:hint="default"/>
          <w:sz w:val="40"/>
          <w:szCs w:val="48"/>
          <w:lang w:val="en-US" w:eastAsia="zh-CN"/>
        </w:rPr>
      </w:pPr>
    </w:p>
    <w:p>
      <w:pPr>
        <w:numPr>
          <w:ilvl w:val="0"/>
          <w:numId w:val="0"/>
        </w:numPr>
        <w:jc w:val="center"/>
        <w:rPr>
          <w:rFonts w:hint="default"/>
          <w:sz w:val="40"/>
          <w:szCs w:val="48"/>
          <w:lang w:val="en-US" w:eastAsia="zh-CN"/>
        </w:rPr>
      </w:pPr>
    </w:p>
    <w:p>
      <w:pPr>
        <w:numPr>
          <w:ilvl w:val="0"/>
          <w:numId w:val="0"/>
        </w:numPr>
        <w:jc w:val="center"/>
        <w:rPr>
          <w:rFonts w:hint="default"/>
          <w:sz w:val="40"/>
          <w:szCs w:val="48"/>
          <w:lang w:val="en-US" w:eastAsia="zh-CN"/>
        </w:rPr>
      </w:pPr>
    </w:p>
    <w:p>
      <w:pPr>
        <w:numPr>
          <w:ilvl w:val="0"/>
          <w:numId w:val="0"/>
        </w:numPr>
        <w:jc w:val="center"/>
        <w:rPr>
          <w:rFonts w:hint="default"/>
          <w:sz w:val="40"/>
          <w:szCs w:val="48"/>
          <w:lang w:val="en-US" w:eastAsia="zh-CN"/>
        </w:rPr>
      </w:pPr>
    </w:p>
    <w:p>
      <w:pPr>
        <w:numPr>
          <w:ilvl w:val="0"/>
          <w:numId w:val="0"/>
        </w:numPr>
        <w:jc w:val="center"/>
        <w:rPr>
          <w:rFonts w:hint="eastAsia"/>
          <w:b/>
          <w:bCs/>
          <w:sz w:val="56"/>
          <w:szCs w:val="96"/>
          <w:lang w:val="en-US" w:eastAsia="zh-CN"/>
        </w:rPr>
      </w:pPr>
      <w:r>
        <w:rPr>
          <w:rFonts w:hint="eastAsia"/>
          <w:b/>
          <w:bCs/>
          <w:sz w:val="56"/>
          <w:szCs w:val="96"/>
          <w:lang w:val="en-US" w:eastAsia="zh-CN"/>
        </w:rPr>
        <w:t>工贸企业有限空间作业执法检查法规清单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2995"/>
        <w:gridCol w:w="9161"/>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748" w:type="dxa"/>
          </w:tcPr>
          <w:p>
            <w:pPr>
              <w:numPr>
                <w:ilvl w:val="0"/>
                <w:numId w:val="0"/>
              </w:numPr>
              <w:jc w:val="center"/>
              <w:rPr>
                <w:rFonts w:hint="eastAsia"/>
                <w:b/>
                <w:bCs/>
                <w:sz w:val="28"/>
                <w:szCs w:val="28"/>
                <w:vertAlign w:val="baseline"/>
                <w:lang w:val="en-US" w:eastAsia="zh-CN"/>
              </w:rPr>
            </w:pPr>
            <w:r>
              <w:rPr>
                <w:rFonts w:hint="eastAsia"/>
                <w:b w:val="0"/>
                <w:bCs w:val="0"/>
                <w:sz w:val="28"/>
                <w:szCs w:val="28"/>
                <w:vertAlign w:val="baseline"/>
                <w:lang w:val="en-US" w:eastAsia="zh-CN"/>
              </w:rPr>
              <w:t>序号</w:t>
            </w:r>
          </w:p>
        </w:tc>
        <w:tc>
          <w:tcPr>
            <w:tcW w:w="2995" w:type="dxa"/>
          </w:tcPr>
          <w:p>
            <w:pPr>
              <w:keepNext w:val="0"/>
              <w:keepLines w:val="0"/>
              <w:pageBreakBefore w:val="0"/>
              <w:widowControl w:val="0"/>
              <w:numPr>
                <w:ilvl w:val="0"/>
                <w:numId w:val="0"/>
              </w:numPr>
              <w:kinsoku/>
              <w:wordWrap/>
              <w:overflowPunct/>
              <w:topLinePunct w:val="0"/>
              <w:autoSpaceDE/>
              <w:autoSpaceDN/>
              <w:bidi w:val="0"/>
              <w:adjustRightInd/>
              <w:snapToGrid/>
              <w:spacing w:line="960" w:lineRule="auto"/>
              <w:jc w:val="center"/>
              <w:textAlignment w:val="auto"/>
              <w:rPr>
                <w:rFonts w:hint="eastAsia"/>
                <w:b w:val="0"/>
                <w:bCs w:val="0"/>
                <w:sz w:val="28"/>
                <w:szCs w:val="28"/>
                <w:vertAlign w:val="baseline"/>
                <w:lang w:val="en-US" w:eastAsia="zh-CN"/>
              </w:rPr>
            </w:pPr>
            <w:r>
              <w:rPr>
                <w:rFonts w:hint="eastAsia"/>
                <w:b w:val="0"/>
                <w:bCs w:val="0"/>
                <w:sz w:val="28"/>
                <w:szCs w:val="28"/>
                <w:vertAlign w:val="baseline"/>
                <w:lang w:val="en-US" w:eastAsia="zh-CN"/>
              </w:rPr>
              <w:t>检查项目</w:t>
            </w:r>
          </w:p>
        </w:tc>
        <w:tc>
          <w:tcPr>
            <w:tcW w:w="9161" w:type="dxa"/>
          </w:tcPr>
          <w:p>
            <w:pPr>
              <w:keepNext w:val="0"/>
              <w:keepLines w:val="0"/>
              <w:pageBreakBefore w:val="0"/>
              <w:widowControl w:val="0"/>
              <w:numPr>
                <w:ilvl w:val="0"/>
                <w:numId w:val="0"/>
              </w:numPr>
              <w:kinsoku/>
              <w:wordWrap/>
              <w:overflowPunct/>
              <w:topLinePunct w:val="0"/>
              <w:autoSpaceDE/>
              <w:autoSpaceDN/>
              <w:bidi w:val="0"/>
              <w:adjustRightInd/>
              <w:snapToGrid/>
              <w:spacing w:line="960" w:lineRule="auto"/>
              <w:jc w:val="center"/>
              <w:textAlignment w:val="auto"/>
              <w:rPr>
                <w:rFonts w:hint="eastAsia"/>
                <w:b w:val="0"/>
                <w:bCs w:val="0"/>
                <w:sz w:val="28"/>
                <w:szCs w:val="28"/>
                <w:vertAlign w:val="baseline"/>
                <w:lang w:val="en-US" w:eastAsia="zh-CN"/>
              </w:rPr>
            </w:pPr>
            <w:r>
              <w:rPr>
                <w:rFonts w:hint="eastAsia"/>
                <w:b w:val="0"/>
                <w:bCs w:val="0"/>
                <w:sz w:val="28"/>
                <w:szCs w:val="28"/>
                <w:vertAlign w:val="baseline"/>
                <w:lang w:val="en-US" w:eastAsia="zh-CN"/>
              </w:rPr>
              <w:t>执法依据</w:t>
            </w:r>
          </w:p>
        </w:tc>
        <w:tc>
          <w:tcPr>
            <w:tcW w:w="2034" w:type="dxa"/>
          </w:tcPr>
          <w:p>
            <w:pPr>
              <w:keepNext w:val="0"/>
              <w:keepLines w:val="0"/>
              <w:pageBreakBefore w:val="0"/>
              <w:widowControl w:val="0"/>
              <w:numPr>
                <w:ilvl w:val="0"/>
                <w:numId w:val="0"/>
              </w:numPr>
              <w:kinsoku/>
              <w:wordWrap/>
              <w:overflowPunct/>
              <w:topLinePunct w:val="0"/>
              <w:autoSpaceDE/>
              <w:autoSpaceDN/>
              <w:bidi w:val="0"/>
              <w:adjustRightInd/>
              <w:snapToGrid/>
              <w:spacing w:line="960" w:lineRule="auto"/>
              <w:jc w:val="center"/>
              <w:textAlignment w:val="auto"/>
              <w:rPr>
                <w:rFonts w:hint="eastAsia"/>
                <w:b w:val="0"/>
                <w:bCs w:val="0"/>
                <w:sz w:val="28"/>
                <w:szCs w:val="28"/>
                <w:vertAlign w:val="baseline"/>
                <w:lang w:val="en-US" w:eastAsia="zh-CN"/>
              </w:rPr>
            </w:pPr>
            <w:r>
              <w:rPr>
                <w:rFonts w:hint="eastAsia"/>
                <w:b w:val="0"/>
                <w:bCs w:val="0"/>
                <w:sz w:val="28"/>
                <w:szCs w:val="28"/>
                <w:vertAlign w:val="baseline"/>
                <w:lang w:val="en-US" w:eastAsia="zh-CN"/>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748" w:type="dxa"/>
            <w:vAlign w:val="center"/>
          </w:tcPr>
          <w:p>
            <w:pPr>
              <w:numPr>
                <w:ilvl w:val="0"/>
                <w:numId w:val="0"/>
              </w:num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1</w:t>
            </w:r>
          </w:p>
        </w:tc>
        <w:tc>
          <w:tcPr>
            <w:tcW w:w="2995" w:type="dxa"/>
            <w:vAlign w:val="center"/>
          </w:tcPr>
          <w:p>
            <w:pPr>
              <w:numPr>
                <w:ilvl w:val="0"/>
                <w:numId w:val="0"/>
              </w:numPr>
              <w:jc w:val="left"/>
              <w:rPr>
                <w:rFonts w:hint="eastAsia"/>
                <w:b w:val="0"/>
                <w:bCs w:val="0"/>
                <w:sz w:val="22"/>
                <w:szCs w:val="22"/>
                <w:vertAlign w:val="baseline"/>
                <w:lang w:val="en-US" w:eastAsia="zh-CN"/>
              </w:rPr>
            </w:pPr>
            <w:r>
              <w:rPr>
                <w:rFonts w:hint="eastAsia"/>
                <w:b w:val="0"/>
                <w:bCs w:val="0"/>
                <w:sz w:val="22"/>
                <w:szCs w:val="22"/>
                <w:vertAlign w:val="baseline"/>
                <w:lang w:val="en-US" w:eastAsia="zh-CN"/>
              </w:rPr>
              <w:t>工贸企业应当对本企业的有限空间进行辨识，建立有限空间管理台账。</w:t>
            </w:r>
          </w:p>
        </w:tc>
        <w:tc>
          <w:tcPr>
            <w:tcW w:w="9161" w:type="dxa"/>
          </w:tcPr>
          <w:p>
            <w:pPr>
              <w:numPr>
                <w:ilvl w:val="0"/>
                <w:numId w:val="0"/>
              </w:numPr>
              <w:jc w:val="both"/>
              <w:rPr>
                <w:rFonts w:hint="eastAsia"/>
                <w:b w:val="0"/>
                <w:bCs w:val="0"/>
                <w:sz w:val="22"/>
                <w:szCs w:val="22"/>
                <w:vertAlign w:val="baseline"/>
                <w:lang w:val="en-US" w:eastAsia="zh-CN"/>
              </w:rPr>
            </w:pPr>
          </w:p>
          <w:p>
            <w:pPr>
              <w:numPr>
                <w:ilvl w:val="0"/>
                <w:numId w:val="0"/>
              </w:numPr>
              <w:ind w:firstLine="440" w:firstLineChars="200"/>
              <w:jc w:val="both"/>
              <w:rPr>
                <w:rFonts w:hint="eastAsia"/>
                <w:b w:val="0"/>
                <w:bCs w:val="0"/>
                <w:sz w:val="22"/>
                <w:szCs w:val="22"/>
                <w:vertAlign w:val="baseline"/>
                <w:lang w:val="en-US" w:eastAsia="zh-CN"/>
              </w:rPr>
            </w:pPr>
            <w:r>
              <w:rPr>
                <w:rFonts w:hint="eastAsia"/>
                <w:b w:val="0"/>
                <w:bCs w:val="0"/>
                <w:sz w:val="22"/>
                <w:szCs w:val="22"/>
                <w:vertAlign w:val="baseline"/>
                <w:lang w:val="en-US" w:eastAsia="zh-CN"/>
              </w:rPr>
              <w:t>《工贸企业有限空间作业安全管理与监督暂行规定》第三十条  工贸企业有下列情形之一的，由县级以上安全生产监督管理部门责令限期改正，可以处3万元以下的罚款，对其直接负责的主管人员和其他直接责任人员处1万元以下的罚款：</w:t>
            </w:r>
          </w:p>
          <w:p>
            <w:pPr>
              <w:numPr>
                <w:ilvl w:val="0"/>
                <w:numId w:val="0"/>
              </w:numPr>
              <w:ind w:firstLine="220" w:firstLineChars="100"/>
              <w:jc w:val="both"/>
              <w:rPr>
                <w:rFonts w:hint="default"/>
                <w:b w:val="0"/>
                <w:bCs w:val="0"/>
                <w:sz w:val="22"/>
                <w:szCs w:val="22"/>
                <w:vertAlign w:val="baseline"/>
                <w:lang w:val="en-US" w:eastAsia="zh-CN"/>
              </w:rPr>
            </w:pPr>
            <w:r>
              <w:rPr>
                <w:rFonts w:hint="eastAsia"/>
                <w:b w:val="0"/>
                <w:bCs w:val="0"/>
                <w:sz w:val="22"/>
                <w:szCs w:val="22"/>
                <w:vertAlign w:val="baseline"/>
                <w:lang w:val="en-US" w:eastAsia="zh-CN"/>
              </w:rPr>
              <w:t>（一）未按照本规定对有限空间作业进行辨识、提出防范措施、建立有限空间管理台账的；......</w:t>
            </w:r>
          </w:p>
        </w:tc>
        <w:tc>
          <w:tcPr>
            <w:tcW w:w="2034" w:type="dxa"/>
          </w:tcPr>
          <w:p>
            <w:pPr>
              <w:numPr>
                <w:ilvl w:val="0"/>
                <w:numId w:val="0"/>
              </w:numPr>
              <w:jc w:val="both"/>
              <w:rPr>
                <w:rFonts w:hint="eastAsia"/>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748" w:type="dxa"/>
            <w:vAlign w:val="center"/>
          </w:tcPr>
          <w:p>
            <w:pPr>
              <w:numPr>
                <w:ilvl w:val="0"/>
                <w:numId w:val="0"/>
              </w:num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2</w:t>
            </w:r>
          </w:p>
        </w:tc>
        <w:tc>
          <w:tcPr>
            <w:tcW w:w="2995" w:type="dxa"/>
          </w:tcPr>
          <w:p>
            <w:pPr>
              <w:numPr>
                <w:ilvl w:val="0"/>
                <w:numId w:val="0"/>
              </w:numPr>
              <w:jc w:val="both"/>
              <w:rPr>
                <w:rFonts w:hint="eastAsia"/>
                <w:b w:val="0"/>
                <w:bCs w:val="0"/>
                <w:sz w:val="22"/>
                <w:szCs w:val="22"/>
                <w:vertAlign w:val="baseline"/>
                <w:lang w:val="en-US" w:eastAsia="zh-CN"/>
              </w:rPr>
            </w:pPr>
          </w:p>
          <w:p>
            <w:pPr>
              <w:numPr>
                <w:ilvl w:val="0"/>
                <w:numId w:val="0"/>
              </w:numPr>
              <w:jc w:val="both"/>
              <w:rPr>
                <w:rFonts w:hint="eastAsia"/>
                <w:b w:val="0"/>
                <w:bCs w:val="0"/>
                <w:sz w:val="22"/>
                <w:szCs w:val="22"/>
                <w:vertAlign w:val="baseline"/>
                <w:lang w:val="en-US" w:eastAsia="zh-CN"/>
              </w:rPr>
            </w:pPr>
          </w:p>
          <w:p>
            <w:pPr>
              <w:numPr>
                <w:ilvl w:val="0"/>
                <w:numId w:val="0"/>
              </w:numPr>
              <w:jc w:val="both"/>
              <w:rPr>
                <w:rFonts w:hint="eastAsia"/>
                <w:b w:val="0"/>
                <w:bCs w:val="0"/>
                <w:sz w:val="22"/>
                <w:szCs w:val="22"/>
                <w:vertAlign w:val="baseline"/>
                <w:lang w:val="en-US" w:eastAsia="zh-CN"/>
              </w:rPr>
            </w:pPr>
            <w:r>
              <w:rPr>
                <w:rFonts w:hint="eastAsia"/>
                <w:b w:val="0"/>
                <w:bCs w:val="0"/>
                <w:sz w:val="22"/>
                <w:szCs w:val="22"/>
                <w:vertAlign w:val="baseline"/>
                <w:lang w:val="en-US" w:eastAsia="zh-CN"/>
              </w:rPr>
              <w:t>工贸企业应当执行有限空间作业审批制度。</w:t>
            </w:r>
          </w:p>
        </w:tc>
        <w:tc>
          <w:tcPr>
            <w:tcW w:w="9161" w:type="dxa"/>
          </w:tcPr>
          <w:p>
            <w:pPr>
              <w:numPr>
                <w:ilvl w:val="0"/>
                <w:numId w:val="0"/>
              </w:numPr>
              <w:jc w:val="both"/>
              <w:rPr>
                <w:rFonts w:hint="eastAsia"/>
                <w:b w:val="0"/>
                <w:bCs w:val="0"/>
                <w:sz w:val="22"/>
                <w:szCs w:val="22"/>
                <w:vertAlign w:val="baseline"/>
                <w:lang w:val="en-US" w:eastAsia="zh-CN"/>
              </w:rPr>
            </w:pPr>
          </w:p>
          <w:p>
            <w:pPr>
              <w:numPr>
                <w:ilvl w:val="0"/>
                <w:numId w:val="0"/>
              </w:numPr>
              <w:ind w:firstLine="440" w:firstLineChars="200"/>
              <w:jc w:val="both"/>
              <w:rPr>
                <w:rFonts w:hint="eastAsia"/>
                <w:b w:val="0"/>
                <w:bCs w:val="0"/>
                <w:sz w:val="22"/>
                <w:szCs w:val="22"/>
                <w:vertAlign w:val="baseline"/>
                <w:lang w:val="en-US" w:eastAsia="zh-CN"/>
              </w:rPr>
            </w:pPr>
            <w:r>
              <w:rPr>
                <w:rFonts w:hint="eastAsia"/>
                <w:b w:val="0"/>
                <w:bCs w:val="0"/>
                <w:sz w:val="22"/>
                <w:szCs w:val="22"/>
                <w:vertAlign w:val="baseline"/>
                <w:lang w:val="en-US" w:eastAsia="zh-CN"/>
              </w:rPr>
              <w:t>《工贸企业有限空间作业安全管理与监督暂行规定》第三十条  工贸企业有下列情形之一的，由县级以上安全生产监督管理部门责令限期改正，可以处3万元以下的罚款，对其直接负责的主管人员和其他直接责任人员处1万元以下的罚款：</w:t>
            </w:r>
          </w:p>
          <w:p>
            <w:pPr>
              <w:numPr>
                <w:ilvl w:val="0"/>
                <w:numId w:val="0"/>
              </w:numPr>
              <w:ind w:firstLine="440" w:firstLineChars="200"/>
              <w:jc w:val="both"/>
              <w:rPr>
                <w:rFonts w:hint="default"/>
                <w:b w:val="0"/>
                <w:bCs w:val="0"/>
                <w:sz w:val="22"/>
                <w:szCs w:val="22"/>
                <w:vertAlign w:val="baseline"/>
                <w:lang w:val="en-US" w:eastAsia="zh-CN"/>
              </w:rPr>
            </w:pPr>
            <w:r>
              <w:rPr>
                <w:rFonts w:hint="eastAsia"/>
                <w:b w:val="0"/>
                <w:bCs w:val="0"/>
                <w:sz w:val="22"/>
                <w:szCs w:val="22"/>
                <w:vertAlign w:val="baseline"/>
                <w:lang w:val="en-US" w:eastAsia="zh-CN"/>
              </w:rPr>
              <w:t>(二)未按照本规定对有限空间作业制定作业方案或者方案未经审批擅自作业的；......</w:t>
            </w:r>
          </w:p>
        </w:tc>
        <w:tc>
          <w:tcPr>
            <w:tcW w:w="2034" w:type="dxa"/>
          </w:tcPr>
          <w:p>
            <w:pPr>
              <w:numPr>
                <w:ilvl w:val="0"/>
                <w:numId w:val="0"/>
              </w:numPr>
              <w:jc w:val="both"/>
              <w:rPr>
                <w:rFonts w:hint="eastAsia"/>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748" w:type="dxa"/>
            <w:vAlign w:val="center"/>
          </w:tcPr>
          <w:p>
            <w:pPr>
              <w:numPr>
                <w:ilvl w:val="0"/>
                <w:numId w:val="0"/>
              </w:num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3</w:t>
            </w:r>
          </w:p>
        </w:tc>
        <w:tc>
          <w:tcPr>
            <w:tcW w:w="2995" w:type="dxa"/>
          </w:tcPr>
          <w:p>
            <w:pPr>
              <w:numPr>
                <w:ilvl w:val="0"/>
                <w:numId w:val="0"/>
              </w:numPr>
              <w:jc w:val="both"/>
              <w:rPr>
                <w:rFonts w:hint="eastAsia"/>
                <w:b w:val="0"/>
                <w:bCs w:val="0"/>
                <w:sz w:val="22"/>
                <w:szCs w:val="22"/>
                <w:vertAlign w:val="baseline"/>
                <w:lang w:val="en-US" w:eastAsia="zh-CN"/>
              </w:rPr>
            </w:pPr>
          </w:p>
          <w:p>
            <w:pPr>
              <w:numPr>
                <w:ilvl w:val="0"/>
                <w:numId w:val="0"/>
              </w:numPr>
              <w:jc w:val="both"/>
              <w:rPr>
                <w:rFonts w:hint="eastAsia"/>
                <w:b w:val="0"/>
                <w:bCs w:val="0"/>
                <w:sz w:val="22"/>
                <w:szCs w:val="22"/>
                <w:vertAlign w:val="baseline"/>
                <w:lang w:val="en-US" w:eastAsia="zh-CN"/>
              </w:rPr>
            </w:pPr>
          </w:p>
          <w:p>
            <w:pPr>
              <w:numPr>
                <w:ilvl w:val="0"/>
                <w:numId w:val="0"/>
              </w:numPr>
              <w:jc w:val="both"/>
              <w:rPr>
                <w:rFonts w:hint="eastAsia"/>
                <w:b w:val="0"/>
                <w:bCs w:val="0"/>
                <w:sz w:val="22"/>
                <w:szCs w:val="22"/>
                <w:vertAlign w:val="baseline"/>
                <w:lang w:val="en-US" w:eastAsia="zh-CN"/>
              </w:rPr>
            </w:pPr>
            <w:r>
              <w:rPr>
                <w:rFonts w:hint="eastAsia"/>
                <w:b w:val="0"/>
                <w:bCs w:val="0"/>
                <w:sz w:val="22"/>
                <w:szCs w:val="22"/>
                <w:vertAlign w:val="baseline"/>
                <w:lang w:val="en-US" w:eastAsia="zh-CN"/>
              </w:rPr>
              <w:t>工贸企业应当在有限空间作业场所设置安全警示标志。</w:t>
            </w:r>
          </w:p>
        </w:tc>
        <w:tc>
          <w:tcPr>
            <w:tcW w:w="9161" w:type="dxa"/>
          </w:tcPr>
          <w:p>
            <w:pPr>
              <w:numPr>
                <w:ilvl w:val="0"/>
                <w:numId w:val="0"/>
              </w:numPr>
              <w:jc w:val="both"/>
              <w:rPr>
                <w:rFonts w:hint="eastAsia"/>
                <w:b w:val="0"/>
                <w:bCs w:val="0"/>
                <w:sz w:val="22"/>
                <w:szCs w:val="22"/>
                <w:vertAlign w:val="baseline"/>
                <w:lang w:val="en-US" w:eastAsia="zh-CN"/>
              </w:rPr>
            </w:pPr>
          </w:p>
          <w:p>
            <w:pPr>
              <w:numPr>
                <w:ilvl w:val="0"/>
                <w:numId w:val="0"/>
              </w:numPr>
              <w:ind w:firstLine="440" w:firstLineChars="200"/>
              <w:jc w:val="both"/>
              <w:rPr>
                <w:rFonts w:hint="eastAsia"/>
                <w:b w:val="0"/>
                <w:bCs w:val="0"/>
                <w:sz w:val="22"/>
                <w:szCs w:val="22"/>
                <w:vertAlign w:val="baseline"/>
                <w:lang w:val="en-US" w:eastAsia="zh-CN"/>
              </w:rPr>
            </w:pPr>
            <w:r>
              <w:rPr>
                <w:rFonts w:hint="eastAsia"/>
                <w:b w:val="0"/>
                <w:bCs w:val="0"/>
                <w:sz w:val="22"/>
                <w:szCs w:val="22"/>
                <w:vertAlign w:val="baseline"/>
                <w:lang w:val="en-US" w:eastAsia="zh-CN"/>
              </w:rPr>
              <w:t>《工贸企业有限空间作业安全管理与监督暂行规定》第二十八条  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w:t>
            </w:r>
          </w:p>
          <w:p>
            <w:pPr>
              <w:numPr>
                <w:ilvl w:val="0"/>
                <w:numId w:val="0"/>
              </w:numPr>
              <w:ind w:firstLine="440" w:firstLineChars="200"/>
              <w:jc w:val="both"/>
              <w:rPr>
                <w:rFonts w:hint="default"/>
                <w:b w:val="0"/>
                <w:bCs w:val="0"/>
                <w:sz w:val="22"/>
                <w:szCs w:val="22"/>
                <w:vertAlign w:val="baseline"/>
                <w:lang w:val="en-US" w:eastAsia="zh-CN"/>
              </w:rPr>
            </w:pPr>
            <w:r>
              <w:rPr>
                <w:rFonts w:hint="eastAsia"/>
                <w:b w:val="0"/>
                <w:bCs w:val="0"/>
                <w:sz w:val="22"/>
                <w:szCs w:val="22"/>
                <w:vertAlign w:val="baseline"/>
                <w:lang w:val="en-US" w:eastAsia="zh-CN"/>
              </w:rPr>
              <w:t>（一）未在有限空间作业场所设置明显的安全警示标志的；......</w:t>
            </w:r>
          </w:p>
        </w:tc>
        <w:tc>
          <w:tcPr>
            <w:tcW w:w="2034" w:type="dxa"/>
          </w:tcPr>
          <w:p>
            <w:pPr>
              <w:numPr>
                <w:ilvl w:val="0"/>
                <w:numId w:val="0"/>
              </w:numPr>
              <w:jc w:val="both"/>
              <w:rPr>
                <w:rFonts w:hint="eastAsia"/>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748" w:type="dxa"/>
            <w:vAlign w:val="center"/>
          </w:tcPr>
          <w:p>
            <w:pPr>
              <w:numPr>
                <w:ilvl w:val="0"/>
                <w:numId w:val="0"/>
              </w:num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4</w:t>
            </w:r>
          </w:p>
        </w:tc>
        <w:tc>
          <w:tcPr>
            <w:tcW w:w="2995" w:type="dxa"/>
          </w:tcPr>
          <w:p>
            <w:pPr>
              <w:numPr>
                <w:ilvl w:val="0"/>
                <w:numId w:val="0"/>
              </w:numPr>
              <w:jc w:val="both"/>
              <w:rPr>
                <w:rFonts w:hint="eastAsia"/>
                <w:b w:val="0"/>
                <w:bCs w:val="0"/>
                <w:sz w:val="22"/>
                <w:szCs w:val="22"/>
                <w:vertAlign w:val="baseline"/>
                <w:lang w:val="en-US" w:eastAsia="zh-CN"/>
              </w:rPr>
            </w:pPr>
          </w:p>
          <w:p>
            <w:pPr>
              <w:numPr>
                <w:ilvl w:val="0"/>
                <w:numId w:val="0"/>
              </w:numPr>
              <w:jc w:val="both"/>
              <w:rPr>
                <w:rFonts w:hint="eastAsia"/>
                <w:b w:val="0"/>
                <w:bCs w:val="0"/>
                <w:sz w:val="22"/>
                <w:szCs w:val="22"/>
                <w:vertAlign w:val="baseline"/>
                <w:lang w:val="en-US" w:eastAsia="zh-CN"/>
              </w:rPr>
            </w:pPr>
          </w:p>
          <w:p>
            <w:pPr>
              <w:numPr>
                <w:ilvl w:val="0"/>
                <w:numId w:val="0"/>
              </w:numPr>
              <w:jc w:val="both"/>
              <w:rPr>
                <w:rFonts w:hint="eastAsia"/>
                <w:b w:val="0"/>
                <w:bCs w:val="0"/>
                <w:sz w:val="22"/>
                <w:szCs w:val="22"/>
                <w:vertAlign w:val="baseline"/>
                <w:lang w:val="en-US" w:eastAsia="zh-CN"/>
              </w:rPr>
            </w:pPr>
          </w:p>
          <w:p>
            <w:pPr>
              <w:numPr>
                <w:ilvl w:val="0"/>
                <w:numId w:val="0"/>
              </w:numPr>
              <w:jc w:val="both"/>
              <w:rPr>
                <w:rFonts w:hint="eastAsia"/>
                <w:b w:val="0"/>
                <w:bCs w:val="0"/>
                <w:sz w:val="22"/>
                <w:szCs w:val="22"/>
                <w:vertAlign w:val="baseline"/>
                <w:lang w:val="en-US" w:eastAsia="zh-CN"/>
              </w:rPr>
            </w:pPr>
            <w:r>
              <w:rPr>
                <w:rFonts w:hint="eastAsia"/>
                <w:b w:val="0"/>
                <w:bCs w:val="0"/>
                <w:sz w:val="22"/>
                <w:szCs w:val="22"/>
                <w:vertAlign w:val="baseline"/>
                <w:lang w:val="en-US" w:eastAsia="zh-CN"/>
              </w:rPr>
              <w:t>工贸企业应当对从事有限空间作业的人员进行安全培训。</w:t>
            </w:r>
          </w:p>
        </w:tc>
        <w:tc>
          <w:tcPr>
            <w:tcW w:w="9161" w:type="dxa"/>
          </w:tcPr>
          <w:p>
            <w:pPr>
              <w:numPr>
                <w:ilvl w:val="0"/>
                <w:numId w:val="0"/>
              </w:numPr>
              <w:jc w:val="both"/>
              <w:rPr>
                <w:rFonts w:hint="eastAsia"/>
                <w:b w:val="0"/>
                <w:bCs w:val="0"/>
                <w:sz w:val="22"/>
                <w:szCs w:val="22"/>
                <w:vertAlign w:val="baseline"/>
                <w:lang w:val="en-US" w:eastAsia="zh-CN"/>
              </w:rPr>
            </w:pPr>
          </w:p>
          <w:p>
            <w:pPr>
              <w:numPr>
                <w:ilvl w:val="0"/>
                <w:numId w:val="0"/>
              </w:numPr>
              <w:ind w:firstLine="440" w:firstLineChars="200"/>
              <w:jc w:val="both"/>
              <w:rPr>
                <w:rFonts w:hint="eastAsia"/>
                <w:b w:val="0"/>
                <w:bCs w:val="0"/>
                <w:sz w:val="22"/>
                <w:szCs w:val="22"/>
                <w:vertAlign w:val="baseline"/>
                <w:lang w:val="en-US" w:eastAsia="zh-CN"/>
              </w:rPr>
            </w:pPr>
            <w:r>
              <w:rPr>
                <w:rFonts w:hint="eastAsia"/>
                <w:b w:val="0"/>
                <w:bCs w:val="0"/>
                <w:sz w:val="22"/>
                <w:szCs w:val="22"/>
                <w:vertAlign w:val="baseline"/>
                <w:lang w:val="en-US" w:eastAsia="zh-CN"/>
              </w:rPr>
              <w:t>《工贸企业有限空间作业安全管理与监督暂行规定》第二十九条  工贸企业有下列情形之一的，由县级以上安全生产监督管理部门责令限期改正，可以处5万元以下的罚款；逾期未改正的，贵令停产停业整顿，并处5万元以上10万元以下的罚款，对其直接负责的主管人员和其他直接责任人员处1万元以上2万元以下的罚款：</w:t>
            </w:r>
          </w:p>
          <w:p>
            <w:pPr>
              <w:numPr>
                <w:ilvl w:val="0"/>
                <w:numId w:val="0"/>
              </w:numPr>
              <w:ind w:firstLine="440" w:firstLineChars="200"/>
              <w:jc w:val="both"/>
              <w:rPr>
                <w:rFonts w:hint="default"/>
                <w:b w:val="0"/>
                <w:bCs w:val="0"/>
                <w:sz w:val="22"/>
                <w:szCs w:val="22"/>
                <w:vertAlign w:val="baseline"/>
                <w:lang w:val="en-US" w:eastAsia="zh-CN"/>
              </w:rPr>
            </w:pPr>
            <w:r>
              <w:rPr>
                <w:rFonts w:hint="eastAsia"/>
                <w:b w:val="0"/>
                <w:bCs w:val="0"/>
                <w:sz w:val="22"/>
                <w:szCs w:val="22"/>
                <w:vertAlign w:val="baseline"/>
                <w:lang w:val="en-US" w:eastAsia="zh-CN"/>
              </w:rPr>
              <w:t>（一）未按照本规定对有限空间的现场负责人、监护人员、作业人员和应急救援人员进行安全培训的；......</w:t>
            </w:r>
          </w:p>
        </w:tc>
        <w:tc>
          <w:tcPr>
            <w:tcW w:w="2034" w:type="dxa"/>
          </w:tcPr>
          <w:p>
            <w:pPr>
              <w:numPr>
                <w:ilvl w:val="0"/>
                <w:numId w:val="0"/>
              </w:numPr>
              <w:jc w:val="both"/>
              <w:rPr>
                <w:rFonts w:hint="eastAsia"/>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748" w:type="dxa"/>
            <w:vAlign w:val="center"/>
          </w:tcPr>
          <w:p>
            <w:pPr>
              <w:numPr>
                <w:ilvl w:val="0"/>
                <w:numId w:val="0"/>
              </w:num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5</w:t>
            </w:r>
          </w:p>
        </w:tc>
        <w:tc>
          <w:tcPr>
            <w:tcW w:w="2995" w:type="dxa"/>
          </w:tcPr>
          <w:p>
            <w:pPr>
              <w:numPr>
                <w:ilvl w:val="0"/>
                <w:numId w:val="0"/>
              </w:numPr>
              <w:jc w:val="both"/>
              <w:rPr>
                <w:rFonts w:hint="eastAsia"/>
                <w:b w:val="0"/>
                <w:bCs w:val="0"/>
                <w:sz w:val="22"/>
                <w:szCs w:val="22"/>
                <w:vertAlign w:val="baseline"/>
                <w:lang w:val="en-US" w:eastAsia="zh-CN"/>
              </w:rPr>
            </w:pPr>
          </w:p>
          <w:p>
            <w:pPr>
              <w:numPr>
                <w:ilvl w:val="0"/>
                <w:numId w:val="0"/>
              </w:numPr>
              <w:jc w:val="both"/>
              <w:rPr>
                <w:rFonts w:hint="eastAsia"/>
                <w:b w:val="0"/>
                <w:bCs w:val="0"/>
                <w:sz w:val="22"/>
                <w:szCs w:val="22"/>
                <w:vertAlign w:val="baseline"/>
                <w:lang w:val="en-US" w:eastAsia="zh-CN"/>
              </w:rPr>
            </w:pPr>
            <w:r>
              <w:rPr>
                <w:rFonts w:hint="eastAsia"/>
                <w:b w:val="0"/>
                <w:bCs w:val="0"/>
                <w:sz w:val="22"/>
                <w:szCs w:val="22"/>
                <w:vertAlign w:val="baseline"/>
                <w:lang w:val="en-US" w:eastAsia="zh-CN"/>
              </w:rPr>
              <w:t>工贸企业应当根据有限空间存在危险有害因素的种类和危害程度，为作业人员提供符合国家标准或行业标准规定的劳动防护用品。</w:t>
            </w:r>
          </w:p>
        </w:tc>
        <w:tc>
          <w:tcPr>
            <w:tcW w:w="9161" w:type="dxa"/>
          </w:tcPr>
          <w:p>
            <w:pPr>
              <w:numPr>
                <w:ilvl w:val="0"/>
                <w:numId w:val="0"/>
              </w:numPr>
              <w:jc w:val="both"/>
              <w:rPr>
                <w:rFonts w:hint="eastAsia"/>
                <w:b w:val="0"/>
                <w:bCs w:val="0"/>
                <w:sz w:val="22"/>
                <w:szCs w:val="22"/>
                <w:vertAlign w:val="baseline"/>
                <w:lang w:val="en-US" w:eastAsia="zh-CN"/>
              </w:rPr>
            </w:pPr>
          </w:p>
          <w:p>
            <w:pPr>
              <w:numPr>
                <w:ilvl w:val="0"/>
                <w:numId w:val="0"/>
              </w:numPr>
              <w:ind w:firstLine="440" w:firstLineChars="200"/>
              <w:jc w:val="both"/>
              <w:rPr>
                <w:rFonts w:hint="default"/>
                <w:b w:val="0"/>
                <w:bCs w:val="0"/>
                <w:sz w:val="22"/>
                <w:szCs w:val="22"/>
                <w:vertAlign w:val="baseline"/>
                <w:lang w:val="en-US" w:eastAsia="zh-CN"/>
              </w:rPr>
            </w:pPr>
            <w:r>
              <w:rPr>
                <w:rFonts w:hint="eastAsia"/>
                <w:b w:val="0"/>
                <w:bCs w:val="0"/>
                <w:sz w:val="22"/>
                <w:szCs w:val="22"/>
                <w:vertAlign w:val="baseline"/>
                <w:lang w:val="en-US" w:eastAsia="zh-CN"/>
              </w:rPr>
              <w:t>《工贸企业有限空间作业安全管理与监督暂行规定》第二十八条  工贸企业有下列行为之一的，由县级以上安全生产监督管理部门责令限期改正，可以处5万元以下的罚款；逾期未改正的，处5万元以上20万元以下的罚款，其直接负责的管人员和其他直接责任人员处1万元以上2万元以下的罚款；情节严重的，责令停产停业整顿：......</w:t>
            </w:r>
          </w:p>
          <w:p>
            <w:pPr>
              <w:numPr>
                <w:ilvl w:val="0"/>
                <w:numId w:val="0"/>
              </w:numPr>
              <w:ind w:firstLine="440" w:firstLineChars="200"/>
              <w:jc w:val="both"/>
              <w:rPr>
                <w:rFonts w:hint="eastAsia"/>
                <w:b w:val="0"/>
                <w:bCs w:val="0"/>
                <w:sz w:val="22"/>
                <w:szCs w:val="22"/>
                <w:vertAlign w:val="baseline"/>
                <w:lang w:val="en-US" w:eastAsia="zh-CN"/>
              </w:rPr>
            </w:pPr>
            <w:r>
              <w:rPr>
                <w:rFonts w:hint="eastAsia"/>
                <w:b w:val="0"/>
                <w:bCs w:val="0"/>
                <w:sz w:val="22"/>
                <w:szCs w:val="22"/>
                <w:vertAlign w:val="baseline"/>
                <w:lang w:val="en-US" w:eastAsia="zh-CN"/>
              </w:rPr>
              <w:t>（二）未按照本规定为作业人员提供符合国家标准或者行业标准的劳动防护用品的。</w:t>
            </w:r>
          </w:p>
        </w:tc>
        <w:tc>
          <w:tcPr>
            <w:tcW w:w="2034" w:type="dxa"/>
          </w:tcPr>
          <w:p>
            <w:pPr>
              <w:numPr>
                <w:ilvl w:val="0"/>
                <w:numId w:val="0"/>
              </w:numPr>
              <w:jc w:val="both"/>
              <w:rPr>
                <w:rFonts w:hint="eastAsia"/>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748" w:type="dxa"/>
            <w:vAlign w:val="center"/>
          </w:tcPr>
          <w:p>
            <w:pPr>
              <w:numPr>
                <w:ilvl w:val="0"/>
                <w:numId w:val="0"/>
              </w:num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6</w:t>
            </w:r>
          </w:p>
        </w:tc>
        <w:tc>
          <w:tcPr>
            <w:tcW w:w="2995" w:type="dxa"/>
          </w:tcPr>
          <w:p>
            <w:pPr>
              <w:numPr>
                <w:ilvl w:val="0"/>
                <w:numId w:val="0"/>
              </w:numPr>
              <w:jc w:val="both"/>
              <w:rPr>
                <w:rFonts w:hint="eastAsia"/>
                <w:b w:val="0"/>
                <w:bCs w:val="0"/>
                <w:sz w:val="22"/>
                <w:szCs w:val="22"/>
                <w:vertAlign w:val="baseline"/>
                <w:lang w:val="en-US" w:eastAsia="zh-CN"/>
              </w:rPr>
            </w:pPr>
          </w:p>
          <w:p>
            <w:pPr>
              <w:numPr>
                <w:ilvl w:val="0"/>
                <w:numId w:val="0"/>
              </w:numPr>
              <w:jc w:val="both"/>
              <w:rPr>
                <w:rFonts w:hint="eastAsia"/>
                <w:b w:val="0"/>
                <w:bCs w:val="0"/>
                <w:sz w:val="22"/>
                <w:szCs w:val="22"/>
                <w:vertAlign w:val="baseline"/>
                <w:lang w:val="en-US" w:eastAsia="zh-CN"/>
              </w:rPr>
            </w:pPr>
          </w:p>
          <w:p>
            <w:pPr>
              <w:numPr>
                <w:ilvl w:val="0"/>
                <w:numId w:val="0"/>
              </w:numPr>
              <w:jc w:val="both"/>
              <w:rPr>
                <w:rFonts w:hint="eastAsia"/>
                <w:b w:val="0"/>
                <w:bCs w:val="0"/>
                <w:sz w:val="22"/>
                <w:szCs w:val="22"/>
                <w:vertAlign w:val="baseline"/>
                <w:lang w:val="en-US" w:eastAsia="zh-CN"/>
              </w:rPr>
            </w:pPr>
            <w:r>
              <w:rPr>
                <w:rFonts w:hint="eastAsia"/>
                <w:b w:val="0"/>
                <w:bCs w:val="0"/>
                <w:sz w:val="22"/>
                <w:szCs w:val="22"/>
                <w:vertAlign w:val="baseline"/>
                <w:lang w:val="en-US" w:eastAsia="zh-CN"/>
              </w:rPr>
              <w:t>工贸企业应当根据本企业有限空间作业的特点，制定应急预案，并定期进行演练。</w:t>
            </w:r>
          </w:p>
        </w:tc>
        <w:tc>
          <w:tcPr>
            <w:tcW w:w="9161" w:type="dxa"/>
          </w:tcPr>
          <w:p>
            <w:pPr>
              <w:numPr>
                <w:ilvl w:val="0"/>
                <w:numId w:val="0"/>
              </w:numPr>
              <w:ind w:firstLine="440" w:firstLineChars="200"/>
              <w:jc w:val="both"/>
              <w:rPr>
                <w:rFonts w:hint="eastAsia"/>
                <w:b w:val="0"/>
                <w:bCs w:val="0"/>
                <w:sz w:val="22"/>
                <w:szCs w:val="22"/>
                <w:vertAlign w:val="baseline"/>
                <w:lang w:val="en-US" w:eastAsia="zh-CN"/>
              </w:rPr>
            </w:pPr>
          </w:p>
          <w:p>
            <w:pPr>
              <w:numPr>
                <w:ilvl w:val="0"/>
                <w:numId w:val="0"/>
              </w:numPr>
              <w:ind w:firstLine="440" w:firstLineChars="200"/>
              <w:jc w:val="both"/>
              <w:rPr>
                <w:rFonts w:hint="default"/>
                <w:b w:val="0"/>
                <w:bCs w:val="0"/>
                <w:sz w:val="22"/>
                <w:szCs w:val="22"/>
                <w:vertAlign w:val="baseline"/>
                <w:lang w:val="en-US" w:eastAsia="zh-CN"/>
              </w:rPr>
            </w:pPr>
            <w:r>
              <w:rPr>
                <w:rFonts w:hint="eastAsia"/>
                <w:b w:val="0"/>
                <w:bCs w:val="0"/>
                <w:sz w:val="22"/>
                <w:szCs w:val="22"/>
                <w:vertAlign w:val="baseline"/>
                <w:lang w:val="en-US" w:eastAsia="zh-CN"/>
              </w:rPr>
              <w:t>《工贸企业有限空间作业安全管理与监督暂行规定》第二十九条  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w:t>
            </w:r>
          </w:p>
          <w:p>
            <w:pPr>
              <w:numPr>
                <w:ilvl w:val="0"/>
                <w:numId w:val="0"/>
              </w:numPr>
              <w:ind w:firstLine="440" w:firstLineChars="200"/>
              <w:jc w:val="both"/>
              <w:rPr>
                <w:rFonts w:hint="eastAsia"/>
                <w:b w:val="0"/>
                <w:bCs w:val="0"/>
                <w:sz w:val="22"/>
                <w:szCs w:val="22"/>
                <w:vertAlign w:val="baseline"/>
                <w:lang w:val="en-US" w:eastAsia="zh-CN"/>
              </w:rPr>
            </w:pPr>
            <w:r>
              <w:rPr>
                <w:rFonts w:hint="eastAsia"/>
                <w:b w:val="0"/>
                <w:bCs w:val="0"/>
                <w:sz w:val="22"/>
                <w:szCs w:val="22"/>
                <w:vertAlign w:val="baseline"/>
                <w:lang w:val="en-US" w:eastAsia="zh-CN"/>
              </w:rPr>
              <w:t>（二）未按照本规定对有限空间作业制定应急预案，或者定期进行演练的。</w:t>
            </w:r>
          </w:p>
        </w:tc>
        <w:tc>
          <w:tcPr>
            <w:tcW w:w="2034" w:type="dxa"/>
          </w:tcPr>
          <w:p>
            <w:pPr>
              <w:numPr>
                <w:ilvl w:val="0"/>
                <w:numId w:val="0"/>
              </w:numPr>
              <w:jc w:val="both"/>
              <w:rPr>
                <w:rFonts w:hint="eastAsia"/>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2" w:hRule="atLeast"/>
        </w:trPr>
        <w:tc>
          <w:tcPr>
            <w:tcW w:w="748" w:type="dxa"/>
            <w:vAlign w:val="center"/>
          </w:tcPr>
          <w:p>
            <w:pPr>
              <w:numPr>
                <w:ilvl w:val="0"/>
                <w:numId w:val="0"/>
              </w:num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7</w:t>
            </w:r>
          </w:p>
        </w:tc>
        <w:tc>
          <w:tcPr>
            <w:tcW w:w="2995" w:type="dxa"/>
          </w:tcPr>
          <w:p>
            <w:pPr>
              <w:numPr>
                <w:ilvl w:val="0"/>
                <w:numId w:val="0"/>
              </w:numPr>
              <w:jc w:val="both"/>
              <w:rPr>
                <w:rFonts w:hint="eastAsia"/>
                <w:b w:val="0"/>
                <w:bCs w:val="0"/>
                <w:sz w:val="22"/>
                <w:szCs w:val="22"/>
                <w:vertAlign w:val="baseline"/>
                <w:lang w:val="en-US" w:eastAsia="zh-CN"/>
              </w:rPr>
            </w:pPr>
          </w:p>
          <w:p>
            <w:pPr>
              <w:numPr>
                <w:ilvl w:val="0"/>
                <w:numId w:val="0"/>
              </w:numPr>
              <w:jc w:val="both"/>
              <w:rPr>
                <w:rFonts w:hint="eastAsia"/>
                <w:b w:val="0"/>
                <w:bCs w:val="0"/>
                <w:sz w:val="22"/>
                <w:szCs w:val="22"/>
                <w:vertAlign w:val="baseline"/>
                <w:lang w:val="en-US" w:eastAsia="zh-CN"/>
              </w:rPr>
            </w:pPr>
          </w:p>
          <w:p>
            <w:pPr>
              <w:numPr>
                <w:ilvl w:val="0"/>
                <w:numId w:val="0"/>
              </w:numPr>
              <w:jc w:val="both"/>
              <w:rPr>
                <w:rFonts w:hint="eastAsia"/>
                <w:b w:val="0"/>
                <w:bCs w:val="0"/>
                <w:sz w:val="22"/>
                <w:szCs w:val="22"/>
                <w:vertAlign w:val="baseline"/>
                <w:lang w:val="en-US" w:eastAsia="zh-CN"/>
              </w:rPr>
            </w:pPr>
            <w:r>
              <w:rPr>
                <w:rFonts w:hint="eastAsia"/>
                <w:b w:val="0"/>
                <w:bCs w:val="0"/>
                <w:sz w:val="22"/>
                <w:szCs w:val="22"/>
                <w:vertAlign w:val="baseline"/>
                <w:lang w:val="en-US" w:eastAsia="zh-CN"/>
              </w:rPr>
              <w:t>工贸企业将有限空间作业发包给其他单位实施的，应当发包给具备国家规定资质或者安全生产条件的承包方，并与承包方签订专门的安全生产管理协议或者在承包合同中明确各自的安全生产职责。</w:t>
            </w:r>
          </w:p>
        </w:tc>
        <w:tc>
          <w:tcPr>
            <w:tcW w:w="9161" w:type="dxa"/>
          </w:tcPr>
          <w:p>
            <w:pPr>
              <w:numPr>
                <w:ilvl w:val="0"/>
                <w:numId w:val="0"/>
              </w:numPr>
              <w:ind w:firstLine="440" w:firstLineChars="200"/>
              <w:jc w:val="both"/>
              <w:rPr>
                <w:rFonts w:hint="eastAsia"/>
                <w:sz w:val="22"/>
                <w:szCs w:val="22"/>
                <w:vertAlign w:val="baseline"/>
                <w:lang w:val="en-US" w:eastAsia="zh-CN"/>
              </w:rPr>
            </w:pPr>
          </w:p>
          <w:p>
            <w:pPr>
              <w:numPr>
                <w:ilvl w:val="0"/>
                <w:numId w:val="0"/>
              </w:numPr>
              <w:ind w:firstLine="440" w:firstLineChars="200"/>
              <w:jc w:val="both"/>
              <w:rPr>
                <w:rFonts w:hint="eastAsia"/>
                <w:sz w:val="22"/>
                <w:szCs w:val="22"/>
                <w:vertAlign w:val="baseline"/>
                <w:lang w:val="en-US" w:eastAsia="zh-CN"/>
              </w:rPr>
            </w:pPr>
            <w:r>
              <w:rPr>
                <w:rFonts w:hint="eastAsia"/>
                <w:sz w:val="22"/>
                <w:szCs w:val="22"/>
                <w:vertAlign w:val="baseline"/>
                <w:lang w:val="en-US" w:eastAsia="zh-CN"/>
              </w:rPr>
              <w:t>《安全生产法》第一百零三条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numPr>
                <w:ilvl w:val="0"/>
                <w:numId w:val="0"/>
              </w:numPr>
              <w:ind w:firstLine="440" w:firstLineChars="200"/>
              <w:jc w:val="both"/>
              <w:rPr>
                <w:rFonts w:hint="eastAsia"/>
                <w:sz w:val="18"/>
                <w:szCs w:val="21"/>
                <w:vertAlign w:val="baseline"/>
                <w:lang w:val="en-US" w:eastAsia="zh-CN"/>
              </w:rPr>
            </w:pPr>
            <w:r>
              <w:rPr>
                <w:rFonts w:hint="eastAsia"/>
                <w:sz w:val="22"/>
                <w:szCs w:val="22"/>
                <w:vertAlign w:val="baseline"/>
                <w:lang w:val="en-US" w:eastAsia="zh-CN"/>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可以处一万元以下的罚款；逾期未改正的，责令停产停业整顿。</w:t>
            </w:r>
          </w:p>
        </w:tc>
        <w:tc>
          <w:tcPr>
            <w:tcW w:w="2034" w:type="dxa"/>
          </w:tcPr>
          <w:p>
            <w:pPr>
              <w:numPr>
                <w:ilvl w:val="0"/>
                <w:numId w:val="0"/>
              </w:numPr>
              <w:jc w:val="both"/>
              <w:rPr>
                <w:rFonts w:hint="eastAsia"/>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748" w:type="dxa"/>
            <w:vAlign w:val="center"/>
          </w:tcPr>
          <w:p>
            <w:pPr>
              <w:numPr>
                <w:ilvl w:val="0"/>
                <w:numId w:val="0"/>
              </w:num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8</w:t>
            </w:r>
            <w:r>
              <w:rPr>
                <w:rFonts w:hint="eastAsia"/>
                <w:b w:val="0"/>
                <w:bCs w:val="0"/>
                <w:sz w:val="22"/>
                <w:szCs w:val="22"/>
                <w:vertAlign w:val="baseline"/>
                <w:lang w:val="en-US" w:eastAsia="zh-CN"/>
              </w:rPr>
              <w:t xml:space="preserve">  </w:t>
            </w:r>
          </w:p>
        </w:tc>
        <w:tc>
          <w:tcPr>
            <w:tcW w:w="2995" w:type="dxa"/>
          </w:tcPr>
          <w:p>
            <w:pPr>
              <w:keepNext w:val="0"/>
              <w:keepLines w:val="0"/>
              <w:pageBreakBefore w:val="0"/>
              <w:widowControl w:val="0"/>
              <w:numPr>
                <w:ilvl w:val="0"/>
                <w:numId w:val="0"/>
              </w:numPr>
              <w:kinsoku/>
              <w:wordWrap/>
              <w:overflowPunct/>
              <w:topLinePunct w:val="0"/>
              <w:autoSpaceDE/>
              <w:autoSpaceDN/>
              <w:bidi w:val="0"/>
              <w:adjustRightInd/>
              <w:snapToGrid/>
              <w:spacing w:line="1800" w:lineRule="auto"/>
              <w:jc w:val="both"/>
              <w:textAlignment w:val="auto"/>
              <w:rPr>
                <w:rFonts w:hint="eastAsia"/>
                <w:b w:val="0"/>
                <w:bCs w:val="0"/>
                <w:sz w:val="22"/>
                <w:szCs w:val="22"/>
                <w:vertAlign w:val="baseline"/>
                <w:lang w:val="en-US" w:eastAsia="zh-CN"/>
              </w:rPr>
            </w:pPr>
            <w:r>
              <w:rPr>
                <w:rFonts w:hint="eastAsia"/>
                <w:b w:val="0"/>
                <w:bCs w:val="0"/>
                <w:sz w:val="22"/>
                <w:szCs w:val="22"/>
                <w:vertAlign w:val="baseline"/>
                <w:lang w:val="en-US" w:eastAsia="zh-CN"/>
              </w:rPr>
              <w:t>其他安全问题（可见附页）：</w:t>
            </w:r>
          </w:p>
        </w:tc>
        <w:tc>
          <w:tcPr>
            <w:tcW w:w="9161" w:type="dxa"/>
          </w:tcPr>
          <w:p>
            <w:pPr>
              <w:numPr>
                <w:ilvl w:val="0"/>
                <w:numId w:val="0"/>
              </w:numPr>
              <w:jc w:val="both"/>
              <w:rPr>
                <w:rFonts w:hint="eastAsia"/>
                <w:b w:val="0"/>
                <w:bCs w:val="0"/>
                <w:sz w:val="22"/>
                <w:szCs w:val="22"/>
                <w:vertAlign w:val="baseline"/>
                <w:lang w:val="en-US" w:eastAsia="zh-CN"/>
              </w:rPr>
            </w:pPr>
            <w:bookmarkStart w:id="0" w:name="_GoBack"/>
            <w:bookmarkEnd w:id="0"/>
          </w:p>
        </w:tc>
        <w:tc>
          <w:tcPr>
            <w:tcW w:w="2034" w:type="dxa"/>
          </w:tcPr>
          <w:p>
            <w:pPr>
              <w:numPr>
                <w:ilvl w:val="0"/>
                <w:numId w:val="0"/>
              </w:numPr>
              <w:jc w:val="both"/>
              <w:rPr>
                <w:rFonts w:hint="eastAsia"/>
                <w:b w:val="0"/>
                <w:bCs w:val="0"/>
                <w:sz w:val="22"/>
                <w:szCs w:val="22"/>
                <w:vertAlign w:val="baseline"/>
                <w:lang w:val="en-US" w:eastAsia="zh-CN"/>
              </w:rPr>
            </w:pPr>
          </w:p>
        </w:tc>
      </w:tr>
    </w:tbl>
    <w:p>
      <w:pPr>
        <w:numPr>
          <w:ilvl w:val="0"/>
          <w:numId w:val="0"/>
        </w:numPr>
        <w:jc w:val="both"/>
        <w:rPr>
          <w:rFonts w:hint="default"/>
          <w:b/>
          <w:bCs/>
          <w:sz w:val="10"/>
          <w:szCs w:val="10"/>
          <w:lang w:val="en-US" w:eastAsia="zh-CN"/>
        </w:rPr>
      </w:pPr>
    </w:p>
    <w:sectPr>
      <w:pgSz w:w="16838" w:h="11906" w:orient="landscape"/>
      <w:pgMar w:top="629" w:right="590" w:bottom="629" w:left="87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80313"/>
    <w:multiLevelType w:val="singleLevel"/>
    <w:tmpl w:val="8D380313"/>
    <w:lvl w:ilvl="0" w:tentative="0">
      <w:start w:val="1"/>
      <w:numFmt w:val="chineseCounting"/>
      <w:suff w:val="nothing"/>
      <w:lvlText w:val="（%1）"/>
      <w:lvlJc w:val="left"/>
      <w:rPr>
        <w:rFonts w:hint="eastAsia"/>
      </w:rPr>
    </w:lvl>
  </w:abstractNum>
  <w:abstractNum w:abstractNumId="1">
    <w:nsid w:val="06F812A3"/>
    <w:multiLevelType w:val="singleLevel"/>
    <w:tmpl w:val="06F812A3"/>
    <w:lvl w:ilvl="0" w:tentative="0">
      <w:start w:val="1"/>
      <w:numFmt w:val="chineseCounting"/>
      <w:suff w:val="nothing"/>
      <w:lvlText w:val="（%1）"/>
      <w:lvlJc w:val="left"/>
      <w:rPr>
        <w:rFonts w:hint="eastAsia"/>
      </w:rPr>
    </w:lvl>
  </w:abstractNum>
  <w:abstractNum w:abstractNumId="2">
    <w:nsid w:val="3D931245"/>
    <w:multiLevelType w:val="singleLevel"/>
    <w:tmpl w:val="3D931245"/>
    <w:lvl w:ilvl="0" w:tentative="0">
      <w:start w:val="1"/>
      <w:numFmt w:val="chineseCounting"/>
      <w:suff w:val="nothing"/>
      <w:lvlText w:val="（%1）"/>
      <w:lvlJc w:val="left"/>
      <w:rPr>
        <w:rFonts w:hint="eastAsia"/>
      </w:rPr>
    </w:lvl>
  </w:abstractNum>
  <w:abstractNum w:abstractNumId="3">
    <w:nsid w:val="4137D545"/>
    <w:multiLevelType w:val="singleLevel"/>
    <w:tmpl w:val="4137D545"/>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900DE"/>
    <w:rsid w:val="04BA315C"/>
    <w:rsid w:val="052676B9"/>
    <w:rsid w:val="052F0997"/>
    <w:rsid w:val="064047AA"/>
    <w:rsid w:val="07A94AE4"/>
    <w:rsid w:val="098175B4"/>
    <w:rsid w:val="09D92F4C"/>
    <w:rsid w:val="0B4D3BF1"/>
    <w:rsid w:val="0CB7356D"/>
    <w:rsid w:val="1178129C"/>
    <w:rsid w:val="133E2B71"/>
    <w:rsid w:val="174F2A9F"/>
    <w:rsid w:val="176A3BEC"/>
    <w:rsid w:val="19A075E2"/>
    <w:rsid w:val="1BB12C10"/>
    <w:rsid w:val="1CC655B2"/>
    <w:rsid w:val="1D3C5A9F"/>
    <w:rsid w:val="1EC82C55"/>
    <w:rsid w:val="22076193"/>
    <w:rsid w:val="24482D50"/>
    <w:rsid w:val="289A25EA"/>
    <w:rsid w:val="2F3900DE"/>
    <w:rsid w:val="2F4F4D9D"/>
    <w:rsid w:val="304940D8"/>
    <w:rsid w:val="32BD2B5B"/>
    <w:rsid w:val="37B00EE0"/>
    <w:rsid w:val="39C841C0"/>
    <w:rsid w:val="39F83CE5"/>
    <w:rsid w:val="3BDA652C"/>
    <w:rsid w:val="40640ABA"/>
    <w:rsid w:val="46003033"/>
    <w:rsid w:val="48AE0603"/>
    <w:rsid w:val="49D6385B"/>
    <w:rsid w:val="4A083026"/>
    <w:rsid w:val="4B751DCD"/>
    <w:rsid w:val="4C4D1FDE"/>
    <w:rsid w:val="4C5C4D3B"/>
    <w:rsid w:val="4EDE5EDB"/>
    <w:rsid w:val="56222B52"/>
    <w:rsid w:val="597F4BBF"/>
    <w:rsid w:val="59DF394A"/>
    <w:rsid w:val="5B9513E1"/>
    <w:rsid w:val="622D4946"/>
    <w:rsid w:val="625F6A4A"/>
    <w:rsid w:val="632A1297"/>
    <w:rsid w:val="66BE2423"/>
    <w:rsid w:val="6755617B"/>
    <w:rsid w:val="69766FE4"/>
    <w:rsid w:val="6A7A2B04"/>
    <w:rsid w:val="6B427C57"/>
    <w:rsid w:val="6DFE1508"/>
    <w:rsid w:val="71C41F04"/>
    <w:rsid w:val="73E62FB9"/>
    <w:rsid w:val="74C27582"/>
    <w:rsid w:val="78622B83"/>
    <w:rsid w:val="78F702C1"/>
    <w:rsid w:val="7DED1D0C"/>
    <w:rsid w:val="7F121106"/>
    <w:rsid w:val="7FCA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2021-11-08T08:45:00Z</dcterms:created>
  <dc:creator>安琪儿</dc:creator>
  <cp:lastModifiedBy>Administrator</cp:lastModifiedBy>
  <dcterms:modified xsi:type="dcterms:W3CDTF">2021-11-18T08:20:23Z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316D1D1547F549289D97B64535A5E471</vt:lpwstr>
  </property>
</Properties>
</file>