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bidi w:val="0"/>
        <w:jc w:val="center"/>
        <w:rPr>
          <w:rFonts w:hint="default"/>
          <w:lang w:val="en-US" w:eastAsia="zh-CN"/>
        </w:rPr>
      </w:pPr>
      <w:r>
        <w:rPr>
          <w:rFonts w:hint="eastAsia"/>
          <w:lang w:val="en-US" w:eastAsia="zh-CN"/>
        </w:rPr>
        <w:t>安全生产会议制度</w:t>
      </w:r>
    </w:p>
    <w:p>
      <w:pPr>
        <w:rPr>
          <w:rFonts w:hint="eastAsia"/>
          <w:sz w:val="28"/>
          <w:szCs w:val="36"/>
        </w:rPr>
      </w:pPr>
      <w:r>
        <w:rPr>
          <w:rFonts w:hint="eastAsia"/>
          <w:sz w:val="28"/>
          <w:szCs w:val="36"/>
        </w:rPr>
        <w:t>第</w:t>
      </w:r>
      <w:r>
        <w:rPr>
          <w:rFonts w:hint="eastAsia"/>
          <w:sz w:val="28"/>
          <w:szCs w:val="36"/>
          <w:lang w:val="en-US" w:eastAsia="zh-CN"/>
        </w:rPr>
        <w:t>一</w:t>
      </w:r>
      <w:r>
        <w:rPr>
          <w:rFonts w:hint="eastAsia"/>
          <w:sz w:val="28"/>
          <w:szCs w:val="36"/>
        </w:rPr>
        <w:t>章 总则</w:t>
      </w:r>
    </w:p>
    <w:p>
      <w:pPr>
        <w:rPr>
          <w:rFonts w:hint="eastAsia"/>
        </w:rPr>
      </w:pPr>
      <w:r>
        <w:rPr>
          <w:rFonts w:hint="eastAsia"/>
        </w:rPr>
        <w:t>第一条目的</w:t>
      </w:r>
    </w:p>
    <w:p>
      <w:pPr>
        <w:rPr>
          <w:rFonts w:hint="eastAsia" w:ascii="汉仪文黑-55简" w:hAnsi="汉仪文黑-55简" w:eastAsia="汉仪文黑-55简" w:cs="汉仪文黑-55简"/>
        </w:rPr>
      </w:pPr>
      <w:r>
        <w:rPr>
          <w:rFonts w:hint="eastAsia"/>
        </w:rPr>
        <w:t>为了进一步抓好安全管理工作，分析安全生产形势，做到有针对性的开展安全生产工作，统一协调和落实安全生产的各项工作，特制定本制</w:t>
      </w:r>
      <w:bookmarkStart w:id="0" w:name="_GoBack"/>
      <w:bookmarkEnd w:id="0"/>
      <w:r>
        <w:rPr>
          <w:rFonts w:hint="eastAsia"/>
        </w:rPr>
        <w:t>度。</w:t>
      </w:r>
    </w:p>
    <w:p>
      <w:pPr>
        <w:rPr>
          <w:rFonts w:hint="eastAsia"/>
        </w:rPr>
      </w:pPr>
      <w:r>
        <w:rPr>
          <w:rFonts w:hint="eastAsia"/>
        </w:rPr>
        <w:t>第二条原则</w:t>
      </w:r>
    </w:p>
    <w:p>
      <w:pPr>
        <w:rPr>
          <w:rFonts w:hint="eastAsia"/>
        </w:rPr>
      </w:pPr>
      <w:r>
        <w:rPr>
          <w:rFonts w:hint="eastAsia"/>
        </w:rPr>
        <w:t>强调会前通知、会时签到、会中记录、会后落实的要求。运营部门必须定期召开安全学习会，总结安全工作，通报安全情况，学习相关规定，进行安全教育，提出安全要求，不断提高驾驶员安全生产观</w:t>
      </w:r>
    </w:p>
    <w:p>
      <w:pPr>
        <w:rPr>
          <w:rFonts w:hint="eastAsia"/>
        </w:rPr>
      </w:pPr>
      <w:r>
        <w:rPr>
          <w:rFonts w:hint="eastAsia"/>
        </w:rPr>
        <w:t>第三条适用范围</w:t>
      </w:r>
    </w:p>
    <w:p>
      <w:pPr>
        <w:rPr>
          <w:rFonts w:hint="eastAsia"/>
        </w:rPr>
      </w:pPr>
      <w:r>
        <w:rPr>
          <w:rFonts w:hint="eastAsia"/>
        </w:rPr>
        <w:t>本制度适用于公司各种例会及专题会议。</w:t>
      </w:r>
    </w:p>
    <w:p>
      <w:pPr>
        <w:rPr>
          <w:rFonts w:hint="eastAsia"/>
        </w:rPr>
      </w:pPr>
      <w:r>
        <w:rPr>
          <w:rFonts w:hint="eastAsia"/>
        </w:rPr>
        <w:t>第二章 职责</w:t>
      </w:r>
    </w:p>
    <w:p>
      <w:pPr>
        <w:rPr>
          <w:rFonts w:hint="eastAsia"/>
        </w:rPr>
      </w:pPr>
      <w:r>
        <w:rPr>
          <w:rFonts w:hint="eastAsia"/>
        </w:rPr>
        <w:t>第四条综合管理部负责公司级例会的组织及相关工作，负责部门例会及各种专题会议的监督。第五条综合管理部负责各种会议的会场安排、设备准备，负责管理保存所有会议纪要原件第六条公司各部门负责本部门例会及专题会的组织及相关工作。</w:t>
      </w:r>
    </w:p>
    <w:p>
      <w:pPr>
        <w:rPr>
          <w:rFonts w:hint="eastAsia"/>
        </w:rPr>
      </w:pPr>
      <w:r>
        <w:rPr>
          <w:rFonts w:hint="eastAsia"/>
        </w:rPr>
        <w:t>第三章 管理规定</w:t>
      </w:r>
    </w:p>
    <w:p>
      <w:pPr>
        <w:rPr>
          <w:rFonts w:hint="eastAsia"/>
        </w:rPr>
      </w:pPr>
      <w:r>
        <w:rPr>
          <w:rFonts w:hint="eastAsia"/>
        </w:rPr>
        <w:t>第七条会议分类</w:t>
      </w:r>
    </w:p>
    <w:p>
      <w:pPr>
        <w:rPr>
          <w:rFonts w:hint="eastAsia"/>
        </w:rPr>
      </w:pPr>
      <w:r>
        <w:rPr>
          <w:rFonts w:hint="eastAsia"/>
        </w:rPr>
        <w:t>7.1调研会议:上级领导来公司调研，召开部署性重要会议。</w:t>
      </w:r>
    </w:p>
    <w:p>
      <w:pPr>
        <w:rPr>
          <w:rFonts w:hint="eastAsia"/>
        </w:rPr>
      </w:pPr>
      <w:r>
        <w:rPr>
          <w:rFonts w:hint="eastAsia"/>
        </w:rPr>
        <w:t>7.2安全例会:原则上定期召开，要求公司运营部经理及安全主管及车队长，驾驶员参加;</w:t>
      </w:r>
    </w:p>
    <w:p>
      <w:pPr>
        <w:rPr>
          <w:rFonts w:hint="eastAsia"/>
        </w:rPr>
      </w:pPr>
      <w:r>
        <w:rPr>
          <w:rFonts w:hint="eastAsia"/>
        </w:rPr>
        <w:t>7.3部门例会:原则上由部门经理统一召开，要求部门全员参加;</w:t>
      </w:r>
    </w:p>
    <w:p>
      <w:pPr>
        <w:rPr>
          <w:rFonts w:hint="eastAsia"/>
        </w:rPr>
      </w:pPr>
      <w:r>
        <w:rPr>
          <w:rFonts w:hint="eastAsia"/>
        </w:rPr>
        <w:t>7.4分析会:指针对专项问题进行分析的会议，会议时间、地点、参加人员由召集部门确定第八条会议通知</w:t>
      </w:r>
    </w:p>
    <w:p>
      <w:pPr>
        <w:rPr>
          <w:rFonts w:hint="eastAsia"/>
        </w:rPr>
      </w:pPr>
      <w:r>
        <w:rPr>
          <w:rFonts w:hint="eastAsia"/>
        </w:rPr>
        <w:t>8.1会议召集部门需在会议召开前一至三个工作日发通知单给各参会部门(人员)，并同时抄送综合管理部。</w:t>
      </w:r>
    </w:p>
    <w:p>
      <w:pPr>
        <w:rPr>
          <w:rFonts w:hint="eastAsia"/>
        </w:rPr>
      </w:pPr>
      <w:r>
        <w:rPr>
          <w:rFonts w:hint="eastAsia"/>
        </w:rPr>
        <w:t>8.2例会时间固定，不需另行通知。如出现会议时间调整，公司级例会由总经办通知各参会人员部门例会则由部门报总经办，并说明原因。未通知的，责任部门负责人要受到相应的处罚。</w:t>
      </w:r>
    </w:p>
    <w:p>
      <w:pPr>
        <w:rPr>
          <w:rFonts w:hint="eastAsia"/>
        </w:rPr>
      </w:pPr>
      <w:r>
        <w:rPr>
          <w:rFonts w:hint="eastAsia"/>
        </w:rPr>
        <w:t>8.3会议通知单需明确会议时间、地点、内容和参会人员等。</w:t>
      </w:r>
    </w:p>
    <w:p>
      <w:pPr>
        <w:rPr>
          <w:rFonts w:hint="eastAsia"/>
        </w:rPr>
      </w:pPr>
      <w:r>
        <w:rPr>
          <w:rFonts w:hint="eastAsia"/>
        </w:rPr>
        <w:t>第九条会议准备</w:t>
      </w:r>
    </w:p>
    <w:p>
      <w:pPr>
        <w:rPr>
          <w:rFonts w:hint="eastAsia"/>
        </w:rPr>
      </w:pPr>
      <w:r>
        <w:rPr>
          <w:rFonts w:hint="eastAsia"/>
        </w:rPr>
        <w:t>公司级会议由综合管理部负责会场安排、设备准备。如落实会场，布置会场，备好座位、会议器材、茶具茶水等会议所需的各种设施、用品等。需在会前半小时准备完毕。部门级会议则由部门经理安排专人负责。</w:t>
      </w:r>
    </w:p>
    <w:p>
      <w:pPr>
        <w:rPr>
          <w:rFonts w:hint="eastAsia"/>
        </w:rPr>
      </w:pPr>
      <w:r>
        <w:rPr>
          <w:rFonts w:hint="eastAsia"/>
        </w:rPr>
        <w:t>如果召开会议部门有供大家参看的会议资料(如会议议程议题、提案、汇报材料、计划草案、决议决定草案、与会人应提交资料等。)</w:t>
      </w:r>
    </w:p>
    <w:p>
      <w:pPr>
        <w:rPr>
          <w:rFonts w:hint="eastAsia"/>
        </w:rPr>
      </w:pPr>
      <w:r>
        <w:rPr>
          <w:rFonts w:hint="eastAsia"/>
        </w:rPr>
        <w:t>应提前准备放置在会议桌上，方便相关人员阅读。</w:t>
      </w:r>
    </w:p>
    <w:p>
      <w:pPr>
        <w:rPr>
          <w:rFonts w:hint="eastAsia"/>
        </w:rPr>
      </w:pPr>
      <w:r>
        <w:rPr>
          <w:rFonts w:hint="eastAsia"/>
        </w:rPr>
        <w:t>第十条一般会议纪律</w:t>
      </w:r>
    </w:p>
    <w:p>
      <w:pPr>
        <w:rPr>
          <w:rFonts w:hint="eastAsia"/>
        </w:rPr>
      </w:pPr>
      <w:r>
        <w:rPr>
          <w:rFonts w:hint="eastAsia"/>
        </w:rPr>
        <w:t>10.1会议组织部门负责会议纪律的维护，准备签到表，组织参会人员签到。未准备签到表，会议组织人会根据公司的《奖惩管理制度》执行。</w:t>
      </w:r>
    </w:p>
    <w:p>
      <w:pPr>
        <w:rPr>
          <w:rFonts w:hint="eastAsia"/>
        </w:rPr>
      </w:pPr>
      <w:r>
        <w:rPr>
          <w:rFonts w:hint="eastAsia"/>
        </w:rPr>
        <w:t>10.2参会人员提前10分钟到达会场进行签到。会议开始时，组织人收回签到表。会后，组织人在签到表上标注迟到(注明到会时间、未到人员)。</w:t>
      </w:r>
    </w:p>
    <w:p>
      <w:pPr>
        <w:rPr>
          <w:rFonts w:hint="eastAsia"/>
        </w:rPr>
      </w:pPr>
      <w:r>
        <w:rPr>
          <w:rFonts w:hint="eastAsia"/>
        </w:rPr>
        <w:t>10.3参会人员如不能按时出席，需提前1个小时向会议组织部门请假，未请假视同缺席或迟到处</w:t>
      </w:r>
    </w:p>
    <w:p>
      <w:pPr>
        <w:rPr>
          <w:rFonts w:hint="eastAsia"/>
        </w:rPr>
      </w:pPr>
      <w:r>
        <w:rPr>
          <w:rFonts w:hint="eastAsia"/>
        </w:rPr>
        <w:t>理。</w:t>
      </w:r>
    </w:p>
    <w:p>
      <w:pPr>
        <w:rPr>
          <w:rFonts w:hint="eastAsia"/>
        </w:rPr>
      </w:pPr>
      <w:r>
        <w:rPr>
          <w:rFonts w:hint="eastAsia"/>
        </w:rPr>
        <w:t>10.4公司例会需部门经理及副职参加，如部门经理因故不能出席，需指派本部门主管级人员代替并提前通知行政部。</w:t>
      </w:r>
    </w:p>
    <w:p>
      <w:pPr>
        <w:rPr>
          <w:rFonts w:hint="eastAsia"/>
        </w:rPr>
      </w:pPr>
      <w:r>
        <w:rPr>
          <w:rFonts w:hint="eastAsia"/>
        </w:rPr>
        <w:t>10.5无故缺席会议者，依据《奖惩管理制度》执行。</w:t>
      </w:r>
    </w:p>
    <w:p>
      <w:pPr>
        <w:rPr>
          <w:rFonts w:hint="eastAsia"/>
        </w:rPr>
      </w:pPr>
      <w:r>
        <w:rPr>
          <w:rFonts w:hint="eastAsia"/>
        </w:rPr>
        <w:t>第十一条运营部安全例会及其他会议纪律</w:t>
      </w:r>
    </w:p>
    <w:p>
      <w:pPr>
        <w:rPr>
          <w:rFonts w:hint="eastAsia"/>
        </w:rPr>
      </w:pPr>
      <w:r>
        <w:rPr>
          <w:rFonts w:hint="eastAsia"/>
        </w:rPr>
        <w:t>11.1凡公司营运驾驶员必须自觉努力学习安全知识，按时参加每月一次的安全学习会。安全学习例会要求驾驶员亲自参加，不得由他人代替。</w:t>
      </w:r>
    </w:p>
    <w:p>
      <w:pPr>
        <w:rPr>
          <w:rFonts w:hint="eastAsia"/>
        </w:rPr>
      </w:pPr>
      <w:r>
        <w:rPr>
          <w:rFonts w:hint="eastAsia"/>
        </w:rPr>
        <w:t>11.2运营部召开例会时驾驶员必须签名报到。不得迟到、早退，如遇急事不能参加会议必须提前问公司请假，并得到同意。</w:t>
      </w:r>
    </w:p>
    <w:p>
      <w:pPr>
        <w:rPr>
          <w:rFonts w:hint="eastAsia"/>
        </w:rPr>
      </w:pPr>
      <w:r>
        <w:rPr>
          <w:rFonts w:hint="eastAsia"/>
        </w:rPr>
        <w:t>11.3凡参会者，在会议中必须端正会风，遵守会场纪律。不得交头接耳，并认真听讲，做好安全学习内容的记录。如有疑问，待会议完毕后，方可向安全人员提问。</w:t>
      </w:r>
    </w:p>
    <w:p>
      <w:pPr>
        <w:rPr>
          <w:rFonts w:hint="eastAsia"/>
        </w:rPr>
      </w:pPr>
      <w:r>
        <w:rPr>
          <w:rFonts w:hint="eastAsia"/>
        </w:rPr>
        <w:t>11.4对无故不参加安全学习的驾驶员，公司将进行查处。一次未参加者将单独进行补会。全年三次未参加者，将列入不良记录名单，公司下年度将不予该驾驶员续签合同。</w:t>
      </w:r>
    </w:p>
    <w:p>
      <w:pPr>
        <w:rPr>
          <w:rFonts w:hint="eastAsia"/>
        </w:rPr>
      </w:pPr>
      <w:r>
        <w:rPr>
          <w:rFonts w:hint="eastAsia"/>
        </w:rPr>
        <w:t>11.5公司每月在驾驶员安全学习会上对公司的安全工作情况进行通报和综合评定，对好的分队和个人进行表扬，对差的分队和个人进行通报批评或处罚。</w:t>
      </w:r>
    </w:p>
    <w:p>
      <w:pPr>
        <w:rPr>
          <w:rFonts w:hint="eastAsia"/>
        </w:rPr>
      </w:pPr>
      <w:r>
        <w:rPr>
          <w:rFonts w:hint="eastAsia"/>
        </w:rPr>
        <w:t>11.6公司必须对参会驾驶员进行严格的考勤登记并存档，年终时在安全总结大会上当中公布考勤记录并对多次迟到、早退、缺席的人员作出严肃处理。</w:t>
      </w:r>
    </w:p>
    <w:p>
      <w:pPr>
        <w:rPr>
          <w:rFonts w:hint="eastAsia"/>
        </w:rPr>
      </w:pPr>
      <w:r>
        <w:rPr>
          <w:rFonts w:hint="eastAsia"/>
        </w:rPr>
        <w:t>11</w:t>
      </w:r>
      <w:r>
        <w:rPr>
          <w:rFonts w:hint="eastAsia"/>
          <w:lang w:val="en-US" w:eastAsia="zh-CN"/>
        </w:rPr>
        <w:t>.</w:t>
      </w:r>
      <w:r>
        <w:rPr>
          <w:rFonts w:hint="eastAsia"/>
        </w:rPr>
        <w:t>7公司每月定期组织安全会议一次，专题研究安全工作情况，总结经验，查找不足，增添安全措施。</w:t>
      </w:r>
    </w:p>
    <w:p>
      <w:pPr>
        <w:rPr>
          <w:rFonts w:hint="eastAsia"/>
        </w:rPr>
      </w:pPr>
      <w:r>
        <w:rPr>
          <w:rFonts w:hint="eastAsia"/>
        </w:rPr>
        <w:t>11</w:t>
      </w:r>
      <w:r>
        <w:rPr>
          <w:rFonts w:hint="eastAsia"/>
          <w:lang w:val="en-US" w:eastAsia="zh-CN"/>
        </w:rPr>
        <w:t>.</w:t>
      </w:r>
      <w:r>
        <w:rPr>
          <w:rFonts w:hint="eastAsia"/>
        </w:rPr>
        <w:t>8公司不定期地针对不同的主题开展形式多样的安全活动，以办板报、广播宣传、张贴标语散发安全宣传资料、放映录相等形式大力宣传安全生产知识和内容，，培养员工安全生产的自觉性。各主要安全生产责任人要在活动中担负起员工和出租汽车驾驶员的组识、指导和讲解的责任。</w:t>
      </w:r>
    </w:p>
    <w:p>
      <w:pPr>
        <w:rPr>
          <w:rFonts w:hint="eastAsia"/>
        </w:rPr>
      </w:pPr>
      <w:r>
        <w:rPr>
          <w:rFonts w:hint="eastAsia"/>
        </w:rPr>
        <w:t>第十二条会议记录</w:t>
      </w:r>
    </w:p>
    <w:p>
      <w:pPr>
        <w:rPr>
          <w:rFonts w:hint="eastAsia"/>
        </w:rPr>
      </w:pPr>
      <w:r>
        <w:rPr>
          <w:rFonts w:hint="eastAsia"/>
        </w:rPr>
        <w:t>12.1会议组织部门安排专人进行会议记录，会后整理会议纪要，并于会后一个工作日内，发各参会部门(复印件)，同时抄送综合管理部。原件(附签到表)交综合管理部存档。</w:t>
      </w:r>
    </w:p>
    <w:p>
      <w:pPr>
        <w:rPr>
          <w:rFonts w:hint="eastAsia"/>
        </w:rPr>
      </w:pPr>
      <w:r>
        <w:rPr>
          <w:rFonts w:hint="eastAsia"/>
        </w:rPr>
        <w:t>12.2会议纪要需参会主要人员签字确认。公司例会纪要由总经理签字，直接下发;部门例会纪要由部门负责人签字;专题会议纪要需参会主要人员(或部门)签字。</w:t>
      </w:r>
    </w:p>
    <w:p>
      <w:pPr>
        <w:rPr>
          <w:rFonts w:hint="eastAsia"/>
        </w:rPr>
      </w:pPr>
      <w:r>
        <w:rPr>
          <w:rFonts w:hint="eastAsia"/>
        </w:rPr>
        <w:t>第十三条处罚规定</w:t>
      </w:r>
    </w:p>
    <w:p>
      <w:pPr>
        <w:rPr>
          <w:rFonts w:hint="eastAsia"/>
        </w:rPr>
      </w:pPr>
      <w:r>
        <w:rPr>
          <w:rFonts w:hint="eastAsia"/>
        </w:rPr>
        <w:t>综合管理部负责编制每月会议纪律处罚清单，会议召开后的一周内上报给上级领导</w:t>
      </w:r>
    </w:p>
    <w:p>
      <w:pPr>
        <w:rPr>
          <w:rFonts w:hint="eastAsia"/>
        </w:rPr>
      </w:pPr>
      <w:r>
        <w:rPr>
          <w:rFonts w:hint="eastAsia"/>
        </w:rPr>
        <w:t>第四章 附则</w:t>
      </w:r>
    </w:p>
    <w:p>
      <w:pPr>
        <w:rPr>
          <w:rFonts w:hint="eastAsia"/>
        </w:rPr>
      </w:pPr>
      <w:r>
        <w:rPr>
          <w:rFonts w:hint="eastAsia"/>
        </w:rPr>
        <w:t>第十四条本制度由公司综合管理部负责解释及修订，第十五条凡本制度未明确规定的奖惩，按《奖惩管理制度》有关规定执行。</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866EB6B2-90B7-430E-8D27-347E0FE345C6}"/>
  </w:font>
  <w:font w:name="汉仪雅酷黑-95J">
    <w:altName w:val="汉仪雅酷黑-95J"/>
    <w:panose1 w:val="00020600040101010101"/>
    <w:charset w:val="86"/>
    <w:family w:val="auto"/>
    <w:pitch w:val="default"/>
    <w:sig w:usb0="A00002FF" w:usb1="0AC17CFA" w:usb2="00000016" w:usb3="00000000" w:csb0="2004000F" w:csb1="00000000"/>
  </w:font>
  <w:font w:name="汉仪文黑-55简">
    <w:altName w:val="汉仪文黑-55简"/>
    <w:panose1 w:val="00020600040101010101"/>
    <w:charset w:val="86"/>
    <w:family w:val="auto"/>
    <w:pitch w:val="default"/>
    <w:sig w:usb0="A00002BF" w:usb1="1ACF7CFA" w:usb2="00000016" w:usb3="00000000" w:csb0="0004009F" w:csb1="DFD70000"/>
    <w:embedRegular r:id="rId2" w:fontKey="{01A958C5-C83E-412C-AA14-741DCED0E1F5}"/>
  </w:font>
  <w:font w:name="MiSans Bold">
    <w:altName w:val="宋体"/>
    <w:panose1 w:val="00000800000000000000"/>
    <w:charset w:val="86"/>
    <w:family w:val="auto"/>
    <w:pitch w:val="default"/>
    <w:sig w:usb0="00000000" w:usb1="0000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ind w:firstLine="480"/>
      </w:pPr>
      <w:r>
        <w:separator/>
      </w:r>
    </w:p>
  </w:footnote>
  <w:footnote w:type="continuationSeparator" w:id="1">
    <w:p>
      <w:pPr>
        <w:spacing w:before="0" w:after="0" w:line="288"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35146F"/>
    <w:multiLevelType w:val="singleLevel"/>
    <w:tmpl w:val="A835146F"/>
    <w:lvl w:ilvl="0" w:tentative="0">
      <w:start w:val="1"/>
      <w:numFmt w:val="bullet"/>
      <w:pStyle w:val="22"/>
      <w:lvlText w:val="w"/>
      <w:lvlJc w:val="left"/>
      <w:pPr>
        <w:ind w:left="420" w:hanging="420"/>
      </w:pPr>
      <w:rPr>
        <w:rFonts w:hint="default" w:ascii="Wingdings" w:hAnsi="Wingdings" w:cs="Wingdings"/>
      </w:rPr>
    </w:lvl>
  </w:abstractNum>
  <w:abstractNum w:abstractNumId="1">
    <w:nsid w:val="CE03B1DE"/>
    <w:multiLevelType w:val="multilevel"/>
    <w:tmpl w:val="CE03B1DE"/>
    <w:lvl w:ilvl="0" w:tentative="0">
      <w:start w:val="1"/>
      <w:numFmt w:val="chineseCounting"/>
      <w:pStyle w:val="13"/>
      <w:lvlText w:val="%1、"/>
      <w:lvlJc w:val="left"/>
      <w:pPr>
        <w:tabs>
          <w:tab w:val="left" w:pos="0"/>
        </w:tabs>
        <w:ind w:left="0" w:firstLine="0"/>
      </w:pPr>
      <w:rPr>
        <w:rFonts w:hint="eastAsia"/>
      </w:rPr>
    </w:lvl>
    <w:lvl w:ilvl="1" w:tentative="0">
      <w:start w:val="1"/>
      <w:numFmt w:val="decimal"/>
      <w:pStyle w:val="11"/>
      <w:lvlText w:val="%2、"/>
      <w:lvlJc w:val="left"/>
      <w:pPr>
        <w:tabs>
          <w:tab w:val="left" w:pos="420"/>
        </w:tabs>
        <w:ind w:left="0" w:firstLine="0"/>
      </w:pPr>
      <w:rPr>
        <w:rFonts w:hint="eastAsia"/>
      </w:rPr>
    </w:lvl>
    <w:lvl w:ilvl="2" w:tentative="0">
      <w:start w:val="1"/>
      <w:numFmt w:val="decimal"/>
      <w:pStyle w:val="18"/>
      <w:lvlText w:val="%3）"/>
      <w:lvlJc w:val="left"/>
      <w:pPr>
        <w:tabs>
          <w:tab w:val="left" w:pos="420"/>
        </w:tabs>
        <w:ind w:left="0" w:firstLine="0"/>
      </w:pPr>
      <w:rPr>
        <w:rFonts w:hint="eastAsia"/>
      </w:rPr>
    </w:lvl>
    <w:lvl w:ilvl="3" w:tentative="0">
      <w:start w:val="1"/>
      <w:numFmt w:val="lowerLetter"/>
      <w:pStyle w:val="23"/>
      <w:lvlText w:val="%4"/>
      <w:lvlJc w:val="left"/>
      <w:pPr>
        <w:tabs>
          <w:tab w:val="left" w:pos="420"/>
        </w:tabs>
        <w:ind w:left="0" w:firstLine="0"/>
      </w:pPr>
      <w:rPr>
        <w:rFonts w:hint="eastAsia"/>
      </w:rPr>
    </w:lvl>
    <w:lvl w:ilvl="4" w:tentative="0">
      <w:start w:val="1"/>
      <w:numFmt w:val="lowerLetter"/>
      <w:pStyle w:val="30"/>
      <w:lvlText w:val="%5) "/>
      <w:lvlJc w:val="left"/>
      <w:pPr>
        <w:tabs>
          <w:tab w:val="left" w:pos="420"/>
        </w:tabs>
        <w:ind w:left="0" w:firstLine="0"/>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D902A511"/>
    <w:multiLevelType w:val="singleLevel"/>
    <w:tmpl w:val="D902A511"/>
    <w:lvl w:ilvl="0" w:tentative="0">
      <w:start w:val="1"/>
      <w:numFmt w:val="bullet"/>
      <w:pStyle w:val="19"/>
      <w:lvlText w:val="²"/>
      <w:lvlJc w:val="left"/>
      <w:pPr>
        <w:ind w:left="420" w:hanging="420"/>
      </w:pPr>
      <w:rPr>
        <w:rFonts w:hint="default" w:ascii="Wingdings" w:hAnsi="Wingdings" w:cs="Wingdings"/>
      </w:rPr>
    </w:lvl>
  </w:abstractNum>
  <w:abstractNum w:abstractNumId="3">
    <w:nsid w:val="F3FD0AED"/>
    <w:multiLevelType w:val="singleLevel"/>
    <w:tmpl w:val="F3FD0AED"/>
    <w:lvl w:ilvl="0" w:tentative="0">
      <w:start w:val="1"/>
      <w:numFmt w:val="bullet"/>
      <w:pStyle w:val="12"/>
      <w:lvlText w:val="w"/>
      <w:lvlJc w:val="left"/>
      <w:pPr>
        <w:ind w:left="420" w:hanging="420"/>
      </w:pPr>
      <w:rPr>
        <w:rFonts w:hint="default" w:ascii="Wingdings" w:hAnsi="Wingdings" w:cs="Wingdings"/>
      </w:rPr>
    </w:lvl>
  </w:abstractNum>
  <w:abstractNum w:abstractNumId="4">
    <w:nsid w:val="F40C6F1B"/>
    <w:multiLevelType w:val="multilevel"/>
    <w:tmpl w:val="F40C6F1B"/>
    <w:lvl w:ilvl="0" w:tentative="0">
      <w:start w:val="1"/>
      <w:numFmt w:val="chineseCounting"/>
      <w:pStyle w:val="2"/>
      <w:suff w:val="nothing"/>
      <w:lvlText w:val="%1、"/>
      <w:lvlJc w:val="left"/>
      <w:pPr>
        <w:tabs>
          <w:tab w:val="left" w:pos="0"/>
        </w:tabs>
        <w:ind w:left="0" w:firstLine="400"/>
      </w:pPr>
      <w:rPr>
        <w:rFonts w:hint="eastAsia" w:eastAsia="汉仪雅酷黑-95J"/>
      </w:rPr>
    </w:lvl>
    <w:lvl w:ilvl="1" w:tentative="0">
      <w:start w:val="1"/>
      <w:numFmt w:val="decimal"/>
      <w:pStyle w:val="3"/>
      <w:suff w:val="nothing"/>
      <w:lvlText w:val="%2．"/>
      <w:lvlJc w:val="left"/>
      <w:pPr>
        <w:ind w:left="0" w:firstLine="400"/>
      </w:pPr>
      <w:rPr>
        <w:rFonts w:hint="eastAsia" w:ascii="汉仪雅酷黑-95J" w:hAnsi="汉仪雅酷黑-95J" w:eastAsia="汉仪雅酷黑-95J"/>
      </w:rPr>
    </w:lvl>
    <w:lvl w:ilvl="2" w:tentative="0">
      <w:start w:val="1"/>
      <w:numFmt w:val="decimal"/>
      <w:pStyle w:val="4"/>
      <w:suff w:val="nothing"/>
      <w:lvlText w:val="（%3）"/>
      <w:lvlJc w:val="left"/>
      <w:pPr>
        <w:ind w:left="0" w:firstLine="402"/>
      </w:pPr>
      <w:rPr>
        <w:rFonts w:hint="eastAsia" w:eastAsia="汉仪雅酷黑-95J"/>
      </w:rPr>
    </w:lvl>
    <w:lvl w:ilvl="3" w:tentative="0">
      <w:start w:val="1"/>
      <w:numFmt w:val="decimal"/>
      <w:pStyle w:val="5"/>
      <w:suff w:val="nothing"/>
      <w:lvlText w:val="%4）"/>
      <w:lvlJc w:val="left"/>
      <w:pPr>
        <w:tabs>
          <w:tab w:val="left" w:pos="0"/>
        </w:tabs>
        <w:ind w:left="0" w:firstLine="402"/>
      </w:pPr>
      <w:rPr>
        <w:rFonts w:hint="eastAsia" w:ascii="汉仪雅酷黑-95J" w:hAnsi="汉仪雅酷黑-95J" w:eastAsia="汉仪雅酷黑-95J" w:cs="Times New Roman"/>
      </w:rPr>
    </w:lvl>
    <w:lvl w:ilvl="4" w:tentative="0">
      <w:start w:val="1"/>
      <w:numFmt w:val="lowerLetter"/>
      <w:pStyle w:val="6"/>
      <w:suff w:val="nothing"/>
      <w:lvlText w:val="%5．"/>
      <w:lvlJc w:val="left"/>
      <w:pPr>
        <w:tabs>
          <w:tab w:val="left" w:pos="0"/>
        </w:tabs>
        <w:ind w:left="0" w:firstLine="402"/>
      </w:pPr>
      <w:rPr>
        <w:rFonts w:hint="eastAsia" w:eastAsia="汉仪雅酷黑-95J"/>
      </w:rPr>
    </w:lvl>
    <w:lvl w:ilvl="5" w:tentative="0">
      <w:start w:val="1"/>
      <w:numFmt w:val="lowerLetter"/>
      <w:pStyle w:val="7"/>
      <w:suff w:val="nothing"/>
      <w:lvlText w:val="%6）"/>
      <w:lvlJc w:val="left"/>
      <w:pPr>
        <w:ind w:left="0" w:firstLine="402"/>
      </w:pPr>
      <w:rPr>
        <w:rFonts w:hint="eastAsia" w:eastAsia="汉仪雅酷黑-95J"/>
      </w:rPr>
    </w:lvl>
    <w:lvl w:ilvl="6" w:tentative="0">
      <w:start w:val="1"/>
      <w:numFmt w:val="lowerRoman"/>
      <w:pStyle w:val="8"/>
      <w:suff w:val="nothing"/>
      <w:lvlText w:val="%7．"/>
      <w:lvlJc w:val="left"/>
      <w:pPr>
        <w:ind w:left="0" w:firstLine="402"/>
      </w:pPr>
      <w:rPr>
        <w:rFonts w:hint="eastAsia" w:eastAsia="汉仪雅酷黑-95J"/>
      </w:rPr>
    </w:lvl>
    <w:lvl w:ilvl="7" w:tentative="0">
      <w:start w:val="1"/>
      <w:numFmt w:val="lowerRoman"/>
      <w:pStyle w:val="9"/>
      <w:suff w:val="nothing"/>
      <w:lvlText w:val="%8）"/>
      <w:lvlJc w:val="left"/>
      <w:pPr>
        <w:ind w:left="0" w:firstLine="402"/>
      </w:pPr>
      <w:rPr>
        <w:rFonts w:hint="eastAsia" w:eastAsia="汉仪雅酷黑-95J"/>
      </w:rPr>
    </w:lvl>
    <w:lvl w:ilvl="8" w:tentative="0">
      <w:start w:val="1"/>
      <w:numFmt w:val="decimalEnclosedCircleChinese"/>
      <w:pStyle w:val="10"/>
      <w:suff w:val="nothing"/>
      <w:lvlText w:val="%9"/>
      <w:lvlJc w:val="left"/>
      <w:pPr>
        <w:ind w:left="0" w:firstLine="402"/>
      </w:pPr>
      <w:rPr>
        <w:rFonts w:hint="eastAsia" w:eastAsia="汉仪雅酷黑-95J"/>
      </w:rPr>
    </w:lvl>
  </w:abstractNum>
  <w:abstractNum w:abstractNumId="5">
    <w:nsid w:val="17F7A04C"/>
    <w:multiLevelType w:val="singleLevel"/>
    <w:tmpl w:val="17F7A04C"/>
    <w:lvl w:ilvl="0" w:tentative="0">
      <w:start w:val="1"/>
      <w:numFmt w:val="bullet"/>
      <w:pStyle w:val="17"/>
      <w:lvlText w:val="³"/>
      <w:lvlJc w:val="left"/>
      <w:pPr>
        <w:ind w:left="420" w:hanging="420"/>
      </w:pPr>
      <w:rPr>
        <w:rFonts w:hint="default" w:ascii="Wingdings" w:hAnsi="Wingdings" w:cs="Wingdings"/>
      </w:rPr>
    </w:lvl>
  </w:abstractNum>
  <w:abstractNum w:abstractNumId="6">
    <w:nsid w:val="746A8B53"/>
    <w:multiLevelType w:val="singleLevel"/>
    <w:tmpl w:val="746A8B53"/>
    <w:lvl w:ilvl="0" w:tentative="0">
      <w:start w:val="1"/>
      <w:numFmt w:val="bullet"/>
      <w:pStyle w:val="15"/>
      <w:lvlText w:val=""/>
      <w:lvlJc w:val="left"/>
      <w:pPr>
        <w:ind w:left="420" w:hanging="420"/>
      </w:pPr>
      <w:rPr>
        <w:rFonts w:hint="default" w:ascii="Wingdings" w:hAnsi="Wingdings"/>
      </w:rPr>
    </w:lvl>
  </w:abstractNum>
  <w:num w:numId="1">
    <w:abstractNumId w:val="4"/>
  </w:num>
  <w:num w:numId="2">
    <w:abstractNumId w:val="1"/>
  </w:num>
  <w:num w:numId="3">
    <w:abstractNumId w:val="3"/>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Yzc3YTEwMTIyZGIxMGZkYzRhMDUzNTdkYzZiNmIifQ=="/>
  </w:docVars>
  <w:rsids>
    <w:rsidRoot w:val="55F847C7"/>
    <w:rsid w:val="55F84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before="156" w:beforeLines="50" w:after="156" w:afterLines="50" w:line="288" w:lineRule="auto"/>
      <w:ind w:firstLine="480" w:firstLineChars="200"/>
      <w:jc w:val="both"/>
    </w:pPr>
    <w:rPr>
      <w:rFonts w:ascii="汉仪文黑-55简" w:hAnsi="汉仪文黑-55简" w:eastAsia="汉仪文黑-55简" w:cstheme="minorBidi"/>
      <w:kern w:val="2"/>
      <w:sz w:val="24"/>
      <w:szCs w:val="24"/>
      <w:lang w:val="en-US" w:eastAsia="zh-CN" w:bidi="ar-SA"/>
    </w:rPr>
  </w:style>
  <w:style w:type="paragraph" w:styleId="2">
    <w:name w:val="heading 1"/>
    <w:next w:val="1"/>
    <w:autoRedefine/>
    <w:qFormat/>
    <w:uiPriority w:val="9"/>
    <w:pPr>
      <w:keepNext/>
      <w:keepLines/>
      <w:numPr>
        <w:ilvl w:val="0"/>
        <w:numId w:val="1"/>
      </w:numPr>
      <w:pBdr>
        <w:top w:val="none" w:color="auto" w:sz="0" w:space="1"/>
        <w:left w:val="none" w:color="auto" w:sz="0" w:space="4"/>
        <w:bottom w:val="none" w:color="629B53" w:sz="0" w:space="1"/>
        <w:right w:val="none" w:color="auto" w:sz="0" w:space="4"/>
      </w:pBdr>
      <w:adjustRightInd w:val="0"/>
      <w:snapToGrid w:val="0"/>
      <w:ind w:firstLine="0"/>
      <w:outlineLvl w:val="0"/>
    </w:pPr>
    <w:rPr>
      <w:rFonts w:ascii="汉仪雅酷黑-95J" w:hAnsi="汉仪雅酷黑-95J" w:eastAsia="汉仪雅酷黑-95J" w:cstheme="minorBidi"/>
      <w:kern w:val="44"/>
      <w:sz w:val="40"/>
      <w:szCs w:val="18"/>
      <w:lang w:val="en-US" w:eastAsia="zh-CN" w:bidi="ar-SA"/>
    </w:rPr>
  </w:style>
  <w:style w:type="paragraph" w:styleId="3">
    <w:name w:val="heading 2"/>
    <w:next w:val="1"/>
    <w:autoRedefine/>
    <w:unhideWhenUsed/>
    <w:qFormat/>
    <w:uiPriority w:val="9"/>
    <w:pPr>
      <w:numPr>
        <w:ilvl w:val="1"/>
        <w:numId w:val="1"/>
      </w:numPr>
      <w:pBdr>
        <w:top w:val="none" w:color="auto" w:sz="0" w:space="1"/>
        <w:left w:val="none" w:color="auto" w:sz="0" w:space="4"/>
        <w:bottom w:val="none" w:color="629B53" w:sz="0" w:space="1"/>
        <w:right w:val="none" w:color="auto" w:sz="0" w:space="4"/>
      </w:pBdr>
      <w:adjustRightInd w:val="0"/>
      <w:snapToGrid w:val="0"/>
      <w:spacing w:before="100" w:beforeLines="100"/>
      <w:ind w:firstLine="0"/>
      <w:outlineLvl w:val="1"/>
    </w:pPr>
    <w:rPr>
      <w:rFonts w:ascii="汉仪雅酷黑-95J" w:hAnsi="汉仪雅酷黑-95J" w:eastAsia="汉仪雅酷黑-95J" w:cstheme="minorBidi"/>
      <w:bCs/>
      <w:kern w:val="2"/>
      <w:sz w:val="36"/>
      <w:szCs w:val="21"/>
      <w:lang w:val="en-US" w:eastAsia="zh-CN" w:bidi="ar-SA"/>
    </w:rPr>
  </w:style>
  <w:style w:type="paragraph" w:styleId="4">
    <w:name w:val="heading 3"/>
    <w:next w:val="1"/>
    <w:autoRedefine/>
    <w:unhideWhenUsed/>
    <w:qFormat/>
    <w:uiPriority w:val="9"/>
    <w:pPr>
      <w:numPr>
        <w:ilvl w:val="2"/>
        <w:numId w:val="1"/>
      </w:numPr>
      <w:adjustRightInd w:val="0"/>
      <w:snapToGrid w:val="0"/>
      <w:spacing w:before="100" w:beforeLines="100"/>
      <w:ind w:firstLine="0"/>
      <w:outlineLvl w:val="2"/>
    </w:pPr>
    <w:rPr>
      <w:rFonts w:ascii="汉仪雅酷黑-95J" w:hAnsi="汉仪雅酷黑-95J" w:eastAsia="汉仪雅酷黑-95J" w:cstheme="minorBidi"/>
      <w:bCs/>
      <w:kern w:val="2"/>
      <w:sz w:val="32"/>
      <w:szCs w:val="32"/>
      <w:lang w:val="en-US" w:eastAsia="zh-CN" w:bidi="ar-SA"/>
    </w:rPr>
  </w:style>
  <w:style w:type="paragraph" w:styleId="5">
    <w:name w:val="heading 4"/>
    <w:next w:val="1"/>
    <w:autoRedefine/>
    <w:unhideWhenUsed/>
    <w:qFormat/>
    <w:uiPriority w:val="9"/>
    <w:pPr>
      <w:numPr>
        <w:ilvl w:val="3"/>
        <w:numId w:val="1"/>
      </w:numPr>
      <w:adjustRightInd w:val="0"/>
      <w:snapToGrid w:val="0"/>
      <w:spacing w:before="100" w:beforeLines="100"/>
      <w:ind w:firstLine="0"/>
      <w:outlineLvl w:val="3"/>
    </w:pPr>
    <w:rPr>
      <w:rFonts w:ascii="汉仪雅酷黑-95J" w:hAnsi="汉仪雅酷黑-95J" w:eastAsia="汉仪雅酷黑-95J" w:cstheme="minorBidi"/>
      <w:b/>
      <w:bCs/>
      <w:color w:val="333333"/>
      <w:sz w:val="28"/>
      <w:lang w:val="en-US" w:eastAsia="zh-CN" w:bidi="ar-SA"/>
    </w:rPr>
  </w:style>
  <w:style w:type="paragraph" w:styleId="6">
    <w:name w:val="heading 5"/>
    <w:next w:val="1"/>
    <w:autoRedefine/>
    <w:unhideWhenUsed/>
    <w:qFormat/>
    <w:uiPriority w:val="9"/>
    <w:pPr>
      <w:numPr>
        <w:ilvl w:val="4"/>
        <w:numId w:val="1"/>
      </w:numPr>
      <w:snapToGrid w:val="0"/>
      <w:spacing w:before="100" w:beforeLines="100" w:line="288" w:lineRule="auto"/>
      <w:ind w:firstLine="0"/>
      <w:outlineLvl w:val="4"/>
    </w:pPr>
    <w:rPr>
      <w:rFonts w:ascii="汉仪雅酷黑-95J" w:hAnsi="汉仪雅酷黑-95J" w:eastAsia="汉仪雅酷黑-95J" w:cstheme="minorBidi"/>
      <w:bCs/>
      <w:color w:val="333333"/>
      <w:sz w:val="24"/>
      <w:szCs w:val="22"/>
      <w:lang w:val="en-US" w:eastAsia="zh-CN" w:bidi="ar-SA"/>
    </w:rPr>
  </w:style>
  <w:style w:type="paragraph" w:styleId="7">
    <w:name w:val="heading 6"/>
    <w:next w:val="1"/>
    <w:autoRedefine/>
    <w:unhideWhenUsed/>
    <w:qFormat/>
    <w:uiPriority w:val="0"/>
    <w:pPr>
      <w:numPr>
        <w:ilvl w:val="5"/>
        <w:numId w:val="1"/>
      </w:numPr>
      <w:snapToGrid w:val="0"/>
      <w:spacing w:before="100" w:beforeLines="100" w:line="288" w:lineRule="auto"/>
      <w:ind w:firstLine="0"/>
      <w:outlineLvl w:val="5"/>
    </w:pPr>
    <w:rPr>
      <w:rFonts w:ascii="汉仪雅酷黑-95J" w:hAnsi="汉仪雅酷黑-95J" w:eastAsia="汉仪雅酷黑-95J" w:cstheme="minorBidi"/>
      <w:bCs/>
      <w:color w:val="333333"/>
      <w:sz w:val="24"/>
      <w:lang w:val="en-US" w:eastAsia="zh-CN" w:bidi="ar-SA"/>
    </w:rPr>
  </w:style>
  <w:style w:type="paragraph" w:styleId="8">
    <w:name w:val="heading 7"/>
    <w:next w:val="1"/>
    <w:autoRedefine/>
    <w:unhideWhenUsed/>
    <w:qFormat/>
    <w:uiPriority w:val="0"/>
    <w:pPr>
      <w:numPr>
        <w:ilvl w:val="6"/>
        <w:numId w:val="1"/>
      </w:numPr>
      <w:tabs>
        <w:tab w:val="left" w:pos="4800"/>
      </w:tabs>
      <w:adjustRightInd w:val="0"/>
      <w:snapToGrid w:val="0"/>
      <w:spacing w:before="100" w:beforeLines="100" w:line="288" w:lineRule="auto"/>
      <w:ind w:firstLine="0"/>
      <w:outlineLvl w:val="6"/>
    </w:pPr>
    <w:rPr>
      <w:rFonts w:ascii="汉仪雅酷黑-95J" w:hAnsi="汉仪雅酷黑-95J" w:eastAsia="汉仪雅酷黑-95J" w:cstheme="minorBidi"/>
      <w:bCs/>
      <w:color w:val="333333"/>
      <w:sz w:val="24"/>
      <w:lang w:val="en-US" w:eastAsia="zh-CN" w:bidi="ar-SA"/>
    </w:rPr>
  </w:style>
  <w:style w:type="paragraph" w:styleId="9">
    <w:name w:val="heading 8"/>
    <w:next w:val="1"/>
    <w:autoRedefine/>
    <w:unhideWhenUsed/>
    <w:qFormat/>
    <w:uiPriority w:val="0"/>
    <w:pPr>
      <w:numPr>
        <w:ilvl w:val="7"/>
        <w:numId w:val="1"/>
      </w:numPr>
      <w:adjustRightInd w:val="0"/>
      <w:snapToGrid w:val="0"/>
      <w:spacing w:before="100" w:beforeLines="100" w:line="288" w:lineRule="auto"/>
      <w:ind w:firstLine="0"/>
      <w:outlineLvl w:val="7"/>
    </w:pPr>
    <w:rPr>
      <w:rFonts w:ascii="汉仪雅酷黑-95J" w:hAnsi="汉仪雅酷黑-95J" w:eastAsia="汉仪雅酷黑-95J" w:cstheme="majorBidi"/>
      <w:bCs/>
      <w:color w:val="333333"/>
      <w:sz w:val="24"/>
      <w:lang w:val="en-US" w:eastAsia="zh-CN" w:bidi="ar-SA"/>
    </w:rPr>
  </w:style>
  <w:style w:type="paragraph" w:styleId="10">
    <w:name w:val="heading 9"/>
    <w:next w:val="1"/>
    <w:autoRedefine/>
    <w:unhideWhenUsed/>
    <w:qFormat/>
    <w:uiPriority w:val="0"/>
    <w:pPr>
      <w:numPr>
        <w:ilvl w:val="8"/>
        <w:numId w:val="1"/>
      </w:numPr>
      <w:tabs>
        <w:tab w:val="left" w:pos="0"/>
      </w:tabs>
      <w:adjustRightInd w:val="0"/>
      <w:snapToGrid w:val="0"/>
      <w:spacing w:before="100" w:beforeLines="100" w:line="288" w:lineRule="auto"/>
      <w:ind w:firstLine="0"/>
      <w:outlineLvl w:val="8"/>
    </w:pPr>
    <w:rPr>
      <w:rFonts w:ascii="汉仪雅酷黑-95J" w:hAnsi="汉仪雅酷黑-95J" w:eastAsia="汉仪雅酷黑-95J" w:cstheme="majorBidi"/>
      <w:bCs/>
      <w:color w:val="333333"/>
      <w:sz w:val="24"/>
      <w:szCs w:val="21"/>
      <w:lang w:val="en-US" w:eastAsia="zh-CN" w:bidi="ar-SA"/>
    </w:rPr>
  </w:style>
  <w:style w:type="character" w:default="1" w:styleId="36">
    <w:name w:val="Default Paragraph Font"/>
    <w:autoRedefine/>
    <w:semiHidden/>
    <w:unhideWhenUsed/>
    <w:qFormat/>
    <w:uiPriority w:val="1"/>
  </w:style>
  <w:style w:type="table" w:default="1" w:styleId="35">
    <w:name w:val="Normal Table"/>
    <w:autoRedefine/>
    <w:semiHidden/>
    <w:qFormat/>
    <w:uiPriority w:val="0"/>
    <w:tblPr>
      <w:tblCellMar>
        <w:top w:w="0" w:type="dxa"/>
        <w:left w:w="108" w:type="dxa"/>
        <w:bottom w:w="0" w:type="dxa"/>
        <w:right w:w="108" w:type="dxa"/>
      </w:tblCellMar>
    </w:tblPr>
  </w:style>
  <w:style w:type="paragraph" w:styleId="11">
    <w:name w:val="List Number 2"/>
    <w:basedOn w:val="1"/>
    <w:autoRedefine/>
    <w:qFormat/>
    <w:uiPriority w:val="0"/>
    <w:pPr>
      <w:numPr>
        <w:ilvl w:val="1"/>
        <w:numId w:val="2"/>
      </w:numPr>
      <w:tabs>
        <w:tab w:val="left" w:pos="0"/>
      </w:tabs>
      <w:spacing w:before="50" w:after="50"/>
      <w:ind w:left="0" w:firstLine="0" w:firstLineChars="0"/>
    </w:pPr>
    <w:rPr>
      <w:color w:val="292929"/>
    </w:rPr>
  </w:style>
  <w:style w:type="paragraph" w:styleId="12">
    <w:name w:val="List Bullet 4"/>
    <w:basedOn w:val="1"/>
    <w:autoRedefine/>
    <w:qFormat/>
    <w:uiPriority w:val="0"/>
    <w:pPr>
      <w:numPr>
        <w:ilvl w:val="0"/>
        <w:numId w:val="3"/>
      </w:numPr>
      <w:spacing w:before="50" w:after="50"/>
      <w:ind w:left="1780" w:hanging="420" w:firstLineChars="0"/>
    </w:pPr>
  </w:style>
  <w:style w:type="paragraph" w:styleId="13">
    <w:name w:val="List Number"/>
    <w:basedOn w:val="1"/>
    <w:autoRedefine/>
    <w:qFormat/>
    <w:uiPriority w:val="0"/>
    <w:pPr>
      <w:numPr>
        <w:ilvl w:val="0"/>
        <w:numId w:val="2"/>
      </w:numPr>
      <w:spacing w:before="50" w:after="50" w:line="240" w:lineRule="auto"/>
      <w:ind w:left="0" w:firstLine="0" w:firstLineChars="0"/>
    </w:pPr>
  </w:style>
  <w:style w:type="paragraph" w:styleId="14">
    <w:name w:val="caption"/>
    <w:basedOn w:val="1"/>
    <w:next w:val="1"/>
    <w:autoRedefine/>
    <w:unhideWhenUsed/>
    <w:qFormat/>
    <w:uiPriority w:val="0"/>
    <w:pPr>
      <w:ind w:firstLine="0" w:firstLineChars="0"/>
    </w:pPr>
    <w:rPr>
      <w:rFonts w:ascii="Arial" w:hAnsi="Arial"/>
      <w:sz w:val="20"/>
    </w:rPr>
  </w:style>
  <w:style w:type="paragraph" w:styleId="15">
    <w:name w:val="List Bullet"/>
    <w:basedOn w:val="1"/>
    <w:autoRedefine/>
    <w:qFormat/>
    <w:uiPriority w:val="0"/>
    <w:pPr>
      <w:numPr>
        <w:ilvl w:val="0"/>
        <w:numId w:val="4"/>
      </w:numPr>
      <w:spacing w:before="50" w:after="50"/>
      <w:ind w:left="454" w:hanging="454" w:firstLineChars="0"/>
    </w:pPr>
  </w:style>
  <w:style w:type="paragraph" w:styleId="16">
    <w:name w:val="annotation text"/>
    <w:basedOn w:val="1"/>
    <w:autoRedefine/>
    <w:qFormat/>
    <w:uiPriority w:val="0"/>
    <w:pPr>
      <w:ind w:firstLine="0" w:firstLineChars="0"/>
      <w:jc w:val="left"/>
    </w:pPr>
  </w:style>
  <w:style w:type="paragraph" w:styleId="17">
    <w:name w:val="List Bullet 3"/>
    <w:basedOn w:val="1"/>
    <w:autoRedefine/>
    <w:qFormat/>
    <w:uiPriority w:val="0"/>
    <w:pPr>
      <w:numPr>
        <w:ilvl w:val="0"/>
        <w:numId w:val="5"/>
      </w:numPr>
      <w:spacing w:before="50" w:after="50"/>
      <w:ind w:left="1270" w:hanging="420" w:firstLineChars="0"/>
    </w:pPr>
  </w:style>
  <w:style w:type="paragraph" w:styleId="18">
    <w:name w:val="List Number 3"/>
    <w:basedOn w:val="1"/>
    <w:autoRedefine/>
    <w:qFormat/>
    <w:uiPriority w:val="0"/>
    <w:pPr>
      <w:numPr>
        <w:ilvl w:val="2"/>
        <w:numId w:val="2"/>
      </w:numPr>
      <w:spacing w:before="50" w:after="50"/>
      <w:ind w:left="420" w:hanging="420" w:firstLineChars="0"/>
    </w:pPr>
    <w:rPr>
      <w:color w:val="292929"/>
    </w:rPr>
  </w:style>
  <w:style w:type="paragraph" w:styleId="19">
    <w:name w:val="List Bullet 2"/>
    <w:basedOn w:val="1"/>
    <w:autoRedefine/>
    <w:qFormat/>
    <w:uiPriority w:val="0"/>
    <w:pPr>
      <w:numPr>
        <w:ilvl w:val="0"/>
        <w:numId w:val="6"/>
      </w:numPr>
      <w:spacing w:before="50" w:after="50"/>
      <w:ind w:left="839" w:hanging="420" w:firstLineChars="0"/>
    </w:pPr>
  </w:style>
  <w:style w:type="paragraph" w:styleId="20">
    <w:name w:val="toc 5"/>
    <w:basedOn w:val="1"/>
    <w:next w:val="1"/>
    <w:link w:val="50"/>
    <w:autoRedefine/>
    <w:qFormat/>
    <w:uiPriority w:val="39"/>
    <w:pPr>
      <w:spacing w:before="50" w:after="50"/>
      <w:ind w:left="0" w:leftChars="0" w:firstLine="0" w:firstLineChars="0"/>
    </w:pPr>
    <w:rPr>
      <w:rFonts w:eastAsia="汉仪文黑-55简"/>
    </w:rPr>
  </w:style>
  <w:style w:type="paragraph" w:styleId="21">
    <w:name w:val="toc 3"/>
    <w:basedOn w:val="1"/>
    <w:next w:val="1"/>
    <w:link w:val="48"/>
    <w:autoRedefine/>
    <w:qFormat/>
    <w:uiPriority w:val="39"/>
    <w:pPr>
      <w:spacing w:before="50" w:after="50"/>
      <w:ind w:left="0" w:leftChars="0" w:firstLine="0" w:firstLineChars="0"/>
    </w:pPr>
    <w:rPr>
      <w:rFonts w:eastAsia="汉仪文黑-55简"/>
    </w:rPr>
  </w:style>
  <w:style w:type="paragraph" w:styleId="22">
    <w:name w:val="List Bullet 5"/>
    <w:basedOn w:val="1"/>
    <w:autoRedefine/>
    <w:qFormat/>
    <w:uiPriority w:val="0"/>
    <w:pPr>
      <w:numPr>
        <w:ilvl w:val="0"/>
        <w:numId w:val="7"/>
      </w:numPr>
      <w:spacing w:before="50" w:after="50"/>
      <w:ind w:left="2290" w:hanging="420" w:firstLineChars="0"/>
    </w:pPr>
  </w:style>
  <w:style w:type="paragraph" w:styleId="23">
    <w:name w:val="List Number 4"/>
    <w:basedOn w:val="1"/>
    <w:autoRedefine/>
    <w:qFormat/>
    <w:uiPriority w:val="0"/>
    <w:pPr>
      <w:numPr>
        <w:ilvl w:val="3"/>
        <w:numId w:val="2"/>
      </w:numPr>
      <w:spacing w:before="50" w:after="50"/>
      <w:ind w:left="1152" w:hanging="1152" w:hangingChars="160"/>
    </w:pPr>
    <w:rPr>
      <w:color w:val="292929"/>
    </w:rPr>
  </w:style>
  <w:style w:type="paragraph" w:styleId="24">
    <w:name w:val="endnote text"/>
    <w:basedOn w:val="1"/>
    <w:autoRedefine/>
    <w:qFormat/>
    <w:uiPriority w:val="0"/>
    <w:pPr>
      <w:ind w:firstLine="0" w:firstLineChars="0"/>
      <w:jc w:val="left"/>
    </w:pPr>
  </w:style>
  <w:style w:type="paragraph" w:styleId="25">
    <w:name w:val="Balloon Text"/>
    <w:basedOn w:val="1"/>
    <w:autoRedefine/>
    <w:qFormat/>
    <w:uiPriority w:val="0"/>
    <w:pPr>
      <w:ind w:firstLine="0" w:firstLineChars="0"/>
    </w:pPr>
    <w:rPr>
      <w:sz w:val="18"/>
    </w:rPr>
  </w:style>
  <w:style w:type="paragraph" w:styleId="26">
    <w:name w:val="footer"/>
    <w:basedOn w:val="1"/>
    <w:autoRedefine/>
    <w:qFormat/>
    <w:uiPriority w:val="0"/>
    <w:pPr>
      <w:tabs>
        <w:tab w:val="center" w:pos="4153"/>
        <w:tab w:val="right" w:pos="8306"/>
      </w:tabs>
      <w:ind w:firstLine="0" w:firstLineChars="0"/>
      <w:jc w:val="center"/>
    </w:pPr>
    <w:rPr>
      <w:sz w:val="18"/>
    </w:rPr>
  </w:style>
  <w:style w:type="paragraph" w:styleId="2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ind w:firstLine="0" w:firstLineChars="0"/>
      <w:jc w:val="center"/>
    </w:pPr>
    <w:rPr>
      <w:sz w:val="18"/>
    </w:rPr>
  </w:style>
  <w:style w:type="paragraph" w:styleId="28">
    <w:name w:val="toc 1"/>
    <w:basedOn w:val="1"/>
    <w:next w:val="1"/>
    <w:link w:val="46"/>
    <w:autoRedefine/>
    <w:qFormat/>
    <w:uiPriority w:val="39"/>
    <w:pPr>
      <w:spacing w:before="50" w:after="50"/>
      <w:ind w:firstLine="0" w:firstLineChars="0"/>
    </w:pPr>
  </w:style>
  <w:style w:type="paragraph" w:styleId="29">
    <w:name w:val="toc 4"/>
    <w:basedOn w:val="1"/>
    <w:next w:val="1"/>
    <w:link w:val="49"/>
    <w:autoRedefine/>
    <w:qFormat/>
    <w:uiPriority w:val="39"/>
    <w:pPr>
      <w:spacing w:before="50" w:after="50"/>
      <w:ind w:left="0" w:leftChars="0" w:firstLine="0" w:firstLineChars="0"/>
    </w:pPr>
    <w:rPr>
      <w:rFonts w:eastAsia="汉仪文黑-55简"/>
    </w:rPr>
  </w:style>
  <w:style w:type="paragraph" w:styleId="30">
    <w:name w:val="List Number 5"/>
    <w:basedOn w:val="1"/>
    <w:autoRedefine/>
    <w:qFormat/>
    <w:uiPriority w:val="0"/>
    <w:pPr>
      <w:numPr>
        <w:ilvl w:val="4"/>
        <w:numId w:val="2"/>
      </w:numPr>
      <w:spacing w:before="50" w:after="50"/>
      <w:ind w:left="0" w:firstLine="0" w:firstLineChars="0"/>
    </w:pPr>
    <w:rPr>
      <w:color w:val="292929"/>
    </w:rPr>
  </w:style>
  <w:style w:type="paragraph" w:styleId="31">
    <w:name w:val="footnote text"/>
    <w:basedOn w:val="1"/>
    <w:autoRedefine/>
    <w:qFormat/>
    <w:uiPriority w:val="0"/>
    <w:pPr>
      <w:ind w:firstLine="0" w:firstLineChars="0"/>
      <w:jc w:val="left"/>
    </w:pPr>
    <w:rPr>
      <w:sz w:val="18"/>
    </w:rPr>
  </w:style>
  <w:style w:type="paragraph" w:styleId="32">
    <w:name w:val="toc 2"/>
    <w:basedOn w:val="1"/>
    <w:next w:val="1"/>
    <w:link w:val="47"/>
    <w:autoRedefine/>
    <w:qFormat/>
    <w:uiPriority w:val="39"/>
    <w:pPr>
      <w:spacing w:before="50" w:after="50"/>
      <w:ind w:left="0" w:leftChars="0" w:firstLine="0" w:firstLineChars="0"/>
    </w:pPr>
    <w:rPr>
      <w:rFonts w:eastAsia="汉仪文黑-55简"/>
    </w:rPr>
  </w:style>
  <w:style w:type="paragraph" w:styleId="33">
    <w:name w:val="Title"/>
    <w:autoRedefine/>
    <w:qFormat/>
    <w:uiPriority w:val="10"/>
    <w:pPr>
      <w:spacing w:before="0" w:beforeLines="0" w:after="100" w:afterLines="100" w:line="240" w:lineRule="auto"/>
      <w:ind w:firstLine="0" w:firstLineChars="0"/>
      <w:jc w:val="center"/>
      <w:outlineLvl w:val="0"/>
    </w:pPr>
    <w:rPr>
      <w:rFonts w:ascii="汉仪雅酷黑-95J" w:hAnsi="汉仪雅酷黑-95J" w:eastAsia="汉仪雅酷黑-95J" w:cs="MiSans Bold"/>
      <w:bCs/>
      <w:sz w:val="72"/>
      <w:szCs w:val="72"/>
    </w:rPr>
  </w:style>
  <w:style w:type="paragraph" w:styleId="34">
    <w:name w:val="annotation subject"/>
    <w:basedOn w:val="16"/>
    <w:next w:val="16"/>
    <w:autoRedefine/>
    <w:qFormat/>
    <w:uiPriority w:val="0"/>
    <w:rPr>
      <w:b/>
    </w:rPr>
  </w:style>
  <w:style w:type="character" w:styleId="37">
    <w:name w:val="Strong"/>
    <w:basedOn w:val="36"/>
    <w:autoRedefine/>
    <w:qFormat/>
    <w:uiPriority w:val="22"/>
    <w:rPr>
      <w:rFonts w:ascii="汉仪文黑-55简" w:hAnsi="汉仪文黑-55简" w:eastAsia="汉仪文黑-55简"/>
      <w:b/>
      <w:iCs/>
      <w:color w:val="auto"/>
      <w:szCs w:val="28"/>
      <w:shd w:val="clear" w:color="auto" w:fill="auto"/>
    </w:rPr>
  </w:style>
  <w:style w:type="character" w:styleId="38">
    <w:name w:val="endnote reference"/>
    <w:basedOn w:val="36"/>
    <w:autoRedefine/>
    <w:qFormat/>
    <w:uiPriority w:val="0"/>
    <w:rPr>
      <w:vertAlign w:val="superscript"/>
    </w:rPr>
  </w:style>
  <w:style w:type="character" w:styleId="39">
    <w:name w:val="page number"/>
    <w:basedOn w:val="36"/>
    <w:autoRedefine/>
    <w:qFormat/>
    <w:uiPriority w:val="0"/>
    <w:rPr>
      <w:rFonts w:ascii="汉仪文黑-55简" w:hAnsi="汉仪文黑-55简" w:eastAsia="汉仪文黑-55简"/>
      <w:color w:val="7F7F7F" w:themeColor="background1" w:themeShade="80"/>
    </w:rPr>
  </w:style>
  <w:style w:type="character" w:styleId="40">
    <w:name w:val="FollowedHyperlink"/>
    <w:basedOn w:val="36"/>
    <w:autoRedefine/>
    <w:qFormat/>
    <w:uiPriority w:val="0"/>
    <w:rPr>
      <w:color w:val="800080"/>
      <w:u w:val="single"/>
    </w:rPr>
  </w:style>
  <w:style w:type="character" w:styleId="41">
    <w:name w:val="Emphasis"/>
    <w:basedOn w:val="36"/>
    <w:autoRedefine/>
    <w:qFormat/>
    <w:uiPriority w:val="20"/>
    <w:rPr>
      <w:b/>
      <w:bCs/>
      <w:color w:val="629B53"/>
      <w:sz w:val="28"/>
      <w:szCs w:val="22"/>
      <w:u w:val="double" w:color="629B53"/>
    </w:rPr>
  </w:style>
  <w:style w:type="character" w:styleId="42">
    <w:name w:val="Hyperlink"/>
    <w:basedOn w:val="36"/>
    <w:autoRedefine/>
    <w:qFormat/>
    <w:uiPriority w:val="99"/>
    <w:rPr>
      <w:color w:val="0000FF"/>
      <w:u w:val="single"/>
    </w:rPr>
  </w:style>
  <w:style w:type="character" w:styleId="43">
    <w:name w:val="annotation reference"/>
    <w:basedOn w:val="36"/>
    <w:autoRedefine/>
    <w:qFormat/>
    <w:uiPriority w:val="0"/>
    <w:rPr>
      <w:sz w:val="21"/>
    </w:rPr>
  </w:style>
  <w:style w:type="character" w:styleId="44">
    <w:name w:val="footnote reference"/>
    <w:basedOn w:val="36"/>
    <w:autoRedefine/>
    <w:qFormat/>
    <w:uiPriority w:val="0"/>
    <w:rPr>
      <w:vertAlign w:val="superscript"/>
    </w:rPr>
  </w:style>
  <w:style w:type="paragraph" w:customStyle="1" w:styleId="45">
    <w:name w:val="目录标题"/>
    <w:basedOn w:val="1"/>
    <w:autoRedefine/>
    <w:qFormat/>
    <w:uiPriority w:val="0"/>
    <w:pPr>
      <w:tabs>
        <w:tab w:val="right" w:leader="dot" w:pos="8306"/>
      </w:tabs>
      <w:spacing w:before="50" w:after="50"/>
      <w:ind w:firstLine="0" w:firstLineChars="0"/>
      <w:jc w:val="center"/>
    </w:pPr>
    <w:rPr>
      <w:b/>
      <w:sz w:val="30"/>
    </w:rPr>
  </w:style>
  <w:style w:type="character" w:customStyle="1" w:styleId="46">
    <w:name w:val="目录 1 Char"/>
    <w:link w:val="28"/>
    <w:autoRedefine/>
    <w:qFormat/>
    <w:uiPriority w:val="39"/>
  </w:style>
  <w:style w:type="character" w:customStyle="1" w:styleId="47">
    <w:name w:val="目录 2 Char"/>
    <w:link w:val="32"/>
    <w:autoRedefine/>
    <w:qFormat/>
    <w:uiPriority w:val="39"/>
    <w:rPr>
      <w:rFonts w:eastAsia="汉仪文黑-55简"/>
    </w:rPr>
  </w:style>
  <w:style w:type="character" w:customStyle="1" w:styleId="48">
    <w:name w:val="目录 3 Char"/>
    <w:link w:val="21"/>
    <w:autoRedefine/>
    <w:qFormat/>
    <w:uiPriority w:val="39"/>
    <w:rPr>
      <w:rFonts w:eastAsia="汉仪文黑-55简"/>
    </w:rPr>
  </w:style>
  <w:style w:type="character" w:customStyle="1" w:styleId="49">
    <w:name w:val="目录 4 Char"/>
    <w:link w:val="29"/>
    <w:autoRedefine/>
    <w:qFormat/>
    <w:uiPriority w:val="39"/>
    <w:rPr>
      <w:rFonts w:eastAsia="汉仪文黑-55简"/>
    </w:rPr>
  </w:style>
  <w:style w:type="character" w:customStyle="1" w:styleId="50">
    <w:name w:val="目录 5 Char"/>
    <w:link w:val="20"/>
    <w:autoRedefine/>
    <w:qFormat/>
    <w:uiPriority w:val="39"/>
    <w:rPr>
      <w:rFonts w:eastAsia="汉仪文黑-55简"/>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2024-04-28T09:12:00Z</dcterms:created>
  <dc:creator>Z  ICH LLIEBE DICH  Y</dc:creator>
  <cp:lastModifiedBy>Z  ICH LLIEBE DICH  Y</cp:lastModifiedBy>
  <dcterms:modified xsi:type="dcterms:W3CDTF">2024-04-28T09:17:01Z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6FF17C119F504FA3AF0631A09DD8B896_11</vt:lpwstr>
  </property>
</Properties>
</file>