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pPr>
        <w:pStyle w:val="Heading1"/>
        <w:jc w:val="center"/>
      </w:pPr>
      <w:bookmarkStart w:id="0" w:name="事故隐患和危险源管理制度"/>
      <w:r>
        <w:rPr>
          <w:color w:val="000000"/>
          <w:sz w:val="36"/>
        </w:rPr>
        <w:t>事故隐患和不安全源管理制度</w:t>
      </w:r>
      <w:bookmarkEnd w:id="0"/>
    </w:p>
    <w:p>
      <w:pPr>
        <w:pStyle w:val="Heading2"/>
        <w:ind w:firstLine="400"/>
      </w:pPr>
      <w:bookmarkStart w:id="1" w:name="引言"/>
      <w:r>
        <w:rPr>
          <w:color w:val="000000"/>
        </w:rPr>
        <w:t>1.引言</w:t>
      </w:r>
      <w:bookmarkEnd w:id="1"/>
    </w:p>
    <w:p>
      <w:pPr>
        <w:pStyle w:val="FirstParagraph"/>
        <w:ind w:firstLine="400"/>
      </w:pPr>
      <w:r>
        <w:rPr>
          <w:color w:val="000000"/>
        </w:rPr>
        <w:t>本制度的目的是为企业职能部门供应一套完整的事故隐患和不安全源管理制度，以保障员工的人身安全，防止事故的发生并降低事故风险。本制度涵盖了事故隐患和不安全源识别、评估、掌控、整改等方面的管理流程和标准。</w:t>
      </w:r>
    </w:p>
    <w:p>
      <w:pPr>
        <w:pStyle w:val="Heading2"/>
        <w:ind w:firstLine="400"/>
      </w:pPr>
      <w:bookmarkStart w:id="2" w:name="管理流程"/>
      <w:r>
        <w:rPr>
          <w:color w:val="000000"/>
        </w:rPr>
        <w:t>2.管理流程</w:t>
      </w:r>
      <w:bookmarkEnd w:id="2"/>
    </w:p>
    <w:p>
      <w:pPr>
        <w:pStyle w:val="Heading3"/>
        <w:ind w:firstLine="400"/>
      </w:pPr>
      <w:bookmarkStart w:id="3" w:name="事故隐患和危险源识别"/>
      <w:r>
        <w:rPr>
          <w:color w:val="000000"/>
        </w:rPr>
        <w:t>2.1 事故隐患和不安全源识别</w:t>
      </w:r>
      <w:bookmarkEnd w:id="3"/>
    </w:p>
    <w:p>
      <w:pPr>
        <w:pStyle w:val="Compact"/>
        <w:numPr>
          <w:ilvl w:val="0"/>
          <w:numId w:val="2"/>
        </w:numPr>
        <w:ind w:firstLine="400"/>
      </w:pPr>
      <w:r>
        <w:rPr>
          <w:color w:val="000000"/>
        </w:rPr>
        <w:t>职能部门应定期进行事故隐患和不安全源的识别工作，包含但不限于对设备、作业环境、劳动技术条件等进行检查和评估。</w:t>
      </w:r>
    </w:p>
    <w:p>
      <w:pPr>
        <w:pStyle w:val="Compact"/>
        <w:numPr>
          <w:ilvl w:val="0"/>
          <w:numId w:val="2"/>
        </w:numPr>
        <w:ind w:firstLine="400"/>
      </w:pPr>
      <w:r>
        <w:rPr>
          <w:color w:val="000000"/>
        </w:rPr>
        <w:t>识别工作应由经过培训合格的专业人员进行，必需时可邀请第三方机构供应技术支持和评估。</w:t>
      </w:r>
    </w:p>
    <w:p>
      <w:pPr>
        <w:pStyle w:val="Compact"/>
        <w:numPr>
          <w:ilvl w:val="0"/>
          <w:numId w:val="2"/>
        </w:numPr>
        <w:ind w:firstLine="400"/>
      </w:pPr>
      <w:r>
        <w:rPr>
          <w:color w:val="000000"/>
        </w:rPr>
        <w:t>识别结果应认真记录并形成识别报告，报告中应包含隐患和不安全源的描述、等级划分和整改建议等信息。</w:t>
      </w:r>
    </w:p>
    <w:p>
      <w:pPr>
        <w:pStyle w:val="Heading3"/>
        <w:ind w:firstLine="400"/>
      </w:pPr>
      <w:bookmarkStart w:id="4" w:name="事故隐患和危险源评估"/>
      <w:r>
        <w:rPr>
          <w:color w:val="000000"/>
        </w:rPr>
        <w:t>2.2 事故隐患和不安全源评估</w:t>
      </w:r>
      <w:bookmarkEnd w:id="4"/>
    </w:p>
    <w:p>
      <w:pPr>
        <w:pStyle w:val="Compact"/>
        <w:numPr>
          <w:ilvl w:val="0"/>
          <w:numId w:val="3"/>
        </w:numPr>
        <w:ind w:firstLine="400"/>
      </w:pPr>
      <w:r>
        <w:rPr>
          <w:color w:val="000000"/>
        </w:rPr>
        <w:t>职能部门应依据识别结果，对事故隐患和不安全源进行综合评估，确定其风险等级。</w:t>
      </w:r>
    </w:p>
    <w:p>
      <w:pPr>
        <w:pStyle w:val="Compact"/>
        <w:numPr>
          <w:ilvl w:val="0"/>
          <w:numId w:val="3"/>
        </w:numPr>
        <w:ind w:firstLine="400"/>
      </w:pPr>
      <w:r>
        <w:rPr>
          <w:color w:val="000000"/>
        </w:rPr>
        <w:t>评估应参考国家相关法律法规、行业标准和企业内部标准，确保评估结果准确可靠。</w:t>
      </w:r>
    </w:p>
    <w:p>
      <w:pPr>
        <w:pStyle w:val="Compact"/>
        <w:numPr>
          <w:ilvl w:val="0"/>
          <w:numId w:val="3"/>
        </w:numPr>
        <w:ind w:firstLine="400"/>
      </w:pPr>
      <w:r>
        <w:rPr>
          <w:color w:val="000000"/>
        </w:rPr>
        <w:t>评估结果应认真记录并形成评估报告，报告中应包含风险等级划分和风险描述等信息。</w:t>
      </w:r>
    </w:p>
    <w:p>
      <w:pPr>
        <w:pStyle w:val="Heading3"/>
        <w:ind w:firstLine="400"/>
      </w:pPr>
      <w:bookmarkStart w:id="5" w:name="事故隐患和危险源控制"/>
      <w:r>
        <w:rPr>
          <w:color w:val="000000"/>
        </w:rPr>
        <w:t>2.3 事故隐患和不安全源掌控</w:t>
      </w:r>
      <w:bookmarkEnd w:id="5"/>
    </w:p>
    <w:p>
      <w:pPr>
        <w:pStyle w:val="Compact"/>
        <w:numPr>
          <w:ilvl w:val="0"/>
          <w:numId w:val="4"/>
        </w:numPr>
        <w:ind w:firstLine="400"/>
      </w:pPr>
      <w:r>
        <w:rPr>
          <w:color w:val="000000"/>
        </w:rPr>
        <w:t>职能部门应依据评估结果，订立相应的掌控措施和标准，确保事故隐患和不安全源的掌控本领。</w:t>
      </w:r>
    </w:p>
    <w:p>
      <w:pPr>
        <w:pStyle w:val="Compact"/>
        <w:numPr>
          <w:ilvl w:val="0"/>
          <w:numId w:val="4"/>
        </w:numPr>
        <w:ind w:firstLine="400"/>
      </w:pPr>
      <w:r>
        <w:rPr>
          <w:color w:val="000000"/>
        </w:rPr>
        <w:t>掌控措施应包含但不限于技术措施、管理措施和个人防护措施等，以减少或除去事故隐患和不安全源对员工的威逼。</w:t>
      </w:r>
    </w:p>
    <w:p>
      <w:pPr>
        <w:pStyle w:val="Compact"/>
        <w:numPr>
          <w:ilvl w:val="0"/>
          <w:numId w:val="4"/>
        </w:numPr>
        <w:ind w:firstLine="400"/>
      </w:pPr>
      <w:r>
        <w:rPr>
          <w:color w:val="000000"/>
        </w:rPr>
        <w:t>掌控措施应明确责任部门和责任人，并建立相应的执行和监督机制。</w:t>
      </w:r>
    </w:p>
    <w:p>
      <w:pPr>
        <w:pStyle w:val="Heading3"/>
        <w:ind w:firstLine="400"/>
      </w:pPr>
      <w:bookmarkStart w:id="6" w:name="事故隐患和危险源整改"/>
      <w:r>
        <w:rPr>
          <w:color w:val="000000"/>
        </w:rPr>
        <w:t>2.4 事故隐患和不安全源整改</w:t>
      </w:r>
      <w:bookmarkEnd w:id="6"/>
    </w:p>
    <w:p>
      <w:pPr>
        <w:pStyle w:val="Compact"/>
        <w:numPr>
          <w:ilvl w:val="0"/>
          <w:numId w:val="5"/>
        </w:numPr>
        <w:ind w:firstLine="400"/>
      </w:pPr>
      <w:r>
        <w:rPr>
          <w:color w:val="000000"/>
        </w:rPr>
        <w:t>职能部门应依据评估结果，对事故隐患和不安全源实施整改。</w:t>
      </w:r>
    </w:p>
    <w:p>
      <w:pPr>
        <w:pStyle w:val="Compact"/>
        <w:numPr>
          <w:ilvl w:val="0"/>
          <w:numId w:val="5"/>
        </w:numPr>
        <w:ind w:firstLine="400"/>
      </w:pPr>
      <w:r>
        <w:rPr>
          <w:color w:val="000000"/>
        </w:rPr>
        <w:t>整改应有明确的时限和责任人，整改前后应进行验证和确认，确保整改措施的有效性。</w:t>
      </w:r>
    </w:p>
    <w:p>
      <w:pPr>
        <w:pStyle w:val="Compact"/>
        <w:numPr>
          <w:ilvl w:val="0"/>
          <w:numId w:val="5"/>
        </w:numPr>
        <w:ind w:firstLine="400"/>
      </w:pPr>
      <w:r>
        <w:rPr>
          <w:color w:val="000000"/>
        </w:rPr>
        <w:t>相关部门应及时跟进整改工作，并记录整改结果，形成整改报告。</w:t>
      </w:r>
    </w:p>
    <w:p>
      <w:pPr>
        <w:pStyle w:val="Heading3"/>
        <w:ind w:firstLine="400"/>
      </w:pPr>
      <w:bookmarkStart w:id="7" w:name="监督和评估"/>
      <w:r>
        <w:rPr>
          <w:color w:val="000000"/>
        </w:rPr>
        <w:t>2.5 监督和评估</w:t>
      </w:r>
      <w:bookmarkEnd w:id="7"/>
    </w:p>
    <w:p>
      <w:pPr>
        <w:pStyle w:val="Compact"/>
        <w:numPr>
          <w:ilvl w:val="0"/>
          <w:numId w:val="6"/>
        </w:numPr>
        <w:ind w:firstLine="400"/>
      </w:pPr>
      <w:r>
        <w:rPr>
          <w:color w:val="000000"/>
        </w:rPr>
        <w:t>职能部门应建立健全事故隐患和不安全源的监督和评估体系，定期对各部门的事故隐患和不安全源管理工作进行检查和评估。</w:t>
      </w:r>
    </w:p>
    <w:p>
      <w:pPr>
        <w:pStyle w:val="Compact"/>
        <w:numPr>
          <w:ilvl w:val="0"/>
          <w:numId w:val="6"/>
        </w:numPr>
        <w:ind w:firstLine="400"/>
      </w:pPr>
      <w:r>
        <w:rPr>
          <w:color w:val="000000"/>
        </w:rPr>
        <w:t>监督和评估应包含但不限于对识别工作、评估工作、掌控工作和整改工作的审核和检验。</w:t>
      </w:r>
    </w:p>
    <w:p>
      <w:pPr>
        <w:pStyle w:val="Compact"/>
        <w:numPr>
          <w:ilvl w:val="0"/>
          <w:numId w:val="6"/>
        </w:numPr>
        <w:ind w:firstLine="400"/>
      </w:pPr>
      <w:r>
        <w:rPr>
          <w:color w:val="000000"/>
        </w:rPr>
        <w:t>检查结果应认真记录并形成检查报告，报告中应包含问题发现和建议看法等信息。</w:t>
      </w:r>
    </w:p>
    <w:p>
      <w:pPr>
        <w:pStyle w:val="Heading2"/>
        <w:ind w:firstLine="400"/>
      </w:pPr>
      <w:bookmarkStart w:id="8" w:name="管理标准"/>
      <w:r>
        <w:rPr>
          <w:color w:val="000000"/>
        </w:rPr>
        <w:t>3.管理标准</w:t>
      </w:r>
      <w:bookmarkEnd w:id="8"/>
    </w:p>
    <w:p>
      <w:pPr>
        <w:pStyle w:val="Heading3"/>
        <w:ind w:firstLine="400"/>
      </w:pPr>
      <w:bookmarkStart w:id="9" w:name="事故隐患和危险源识别标准"/>
      <w:r>
        <w:rPr>
          <w:color w:val="000000"/>
        </w:rPr>
        <w:t>3.1 事故隐患和不安全源识别标准</w:t>
      </w:r>
      <w:bookmarkEnd w:id="9"/>
    </w:p>
    <w:p>
      <w:pPr>
        <w:pStyle w:val="Compact"/>
        <w:numPr>
          <w:ilvl w:val="0"/>
          <w:numId w:val="7"/>
        </w:numPr>
        <w:ind w:firstLine="400"/>
      </w:pPr>
      <w:r>
        <w:rPr>
          <w:color w:val="000000"/>
        </w:rPr>
        <w:t>识别工作应依照企业内部标准进行，包含但不限于设备检查、作业环境评估、劳动技术条件检查等内容。</w:t>
      </w:r>
    </w:p>
    <w:p>
      <w:pPr>
        <w:pStyle w:val="Compact"/>
        <w:numPr>
          <w:ilvl w:val="0"/>
          <w:numId w:val="7"/>
        </w:numPr>
        <w:ind w:firstLine="400"/>
      </w:pPr>
      <w:r>
        <w:rPr>
          <w:color w:val="000000"/>
        </w:rPr>
        <w:t>识别工作应掩盖全部关键环节和岗位，确保全面、细致地发现事故隐患和不安全源。</w:t>
      </w:r>
    </w:p>
    <w:p>
      <w:pPr>
        <w:pStyle w:val="Compact"/>
        <w:numPr>
          <w:ilvl w:val="0"/>
          <w:numId w:val="7"/>
        </w:numPr>
        <w:ind w:firstLine="400"/>
      </w:pPr>
      <w:r>
        <w:rPr>
          <w:color w:val="000000"/>
        </w:rPr>
        <w:t>识别结果应具备可追溯性和可复现性，确保识别工作的准确性和可靠性。</w:t>
      </w:r>
    </w:p>
    <w:p>
      <w:pPr>
        <w:pStyle w:val="Heading3"/>
        <w:ind w:firstLine="400"/>
      </w:pPr>
      <w:bookmarkStart w:id="10" w:name="事故隐患和危险源评估标准"/>
      <w:r>
        <w:rPr>
          <w:color w:val="000000"/>
        </w:rPr>
        <w:t>3.2 事故隐患和不安全源评估标准</w:t>
      </w:r>
      <w:bookmarkEnd w:id="10"/>
    </w:p>
    <w:p>
      <w:pPr>
        <w:pStyle w:val="Compact"/>
        <w:numPr>
          <w:ilvl w:val="0"/>
          <w:numId w:val="8"/>
        </w:numPr>
        <w:ind w:firstLine="400"/>
      </w:pPr>
      <w:r>
        <w:rPr>
          <w:color w:val="000000"/>
        </w:rPr>
        <w:t>评估工作应参考国家相关法律法规、行业标准和企业内部标准进行，确保评估结果准确可靠。</w:t>
      </w:r>
    </w:p>
    <w:p>
      <w:pPr>
        <w:pStyle w:val="Compact"/>
        <w:numPr>
          <w:ilvl w:val="0"/>
          <w:numId w:val="8"/>
        </w:numPr>
        <w:ind w:firstLine="400"/>
      </w:pPr>
      <w:r>
        <w:rPr>
          <w:color w:val="000000"/>
        </w:rPr>
        <w:t>评估结果应依照风险等级划分，风险等级划分应明确和合理。</w:t>
      </w:r>
    </w:p>
    <w:p>
      <w:pPr>
        <w:pStyle w:val="Compact"/>
        <w:numPr>
          <w:ilvl w:val="0"/>
          <w:numId w:val="8"/>
        </w:numPr>
        <w:ind w:firstLine="400"/>
      </w:pPr>
      <w:r>
        <w:rPr>
          <w:color w:val="000000"/>
        </w:rPr>
        <w:t>评估报告中应对评估结果进行解读和分析，形成可操作性的建议和措施。</w:t>
      </w:r>
    </w:p>
    <w:p>
      <w:pPr>
        <w:pStyle w:val="Heading3"/>
        <w:ind w:firstLine="400"/>
      </w:pPr>
      <w:bookmarkStart w:id="11" w:name="事故隐患和危险源控制标准"/>
      <w:r>
        <w:rPr>
          <w:color w:val="000000"/>
        </w:rPr>
        <w:t>3.3 事故隐患和不安全源掌控标准</w:t>
      </w:r>
      <w:bookmarkEnd w:id="11"/>
    </w:p>
    <w:p>
      <w:pPr>
        <w:pStyle w:val="Compact"/>
        <w:numPr>
          <w:ilvl w:val="0"/>
          <w:numId w:val="9"/>
        </w:numPr>
        <w:ind w:firstLine="400"/>
      </w:pPr>
      <w:r>
        <w:rPr>
          <w:color w:val="000000"/>
        </w:rPr>
        <w:t>掌控措施应依照国家相关法律法规、行业标准和企业内部标准订立，确保掌控本领的有效性。</w:t>
      </w:r>
    </w:p>
    <w:p>
      <w:pPr>
        <w:pStyle w:val="Compact"/>
        <w:numPr>
          <w:ilvl w:val="0"/>
          <w:numId w:val="9"/>
        </w:numPr>
        <w:ind w:firstLine="400"/>
      </w:pPr>
      <w:r>
        <w:rPr>
          <w:color w:val="000000"/>
        </w:rPr>
        <w:t>掌控措施应有明确的责任部门和责任人，责任部门应配备充分的人员和技术支持，确保掌控措施的实施效果。</w:t>
      </w:r>
    </w:p>
    <w:p>
      <w:pPr>
        <w:pStyle w:val="Compact"/>
        <w:numPr>
          <w:ilvl w:val="0"/>
          <w:numId w:val="9"/>
        </w:numPr>
        <w:ind w:firstLine="400"/>
      </w:pPr>
      <w:r>
        <w:rPr>
          <w:color w:val="000000"/>
        </w:rPr>
        <w:t>掌控措施应定期评估和改进，确保其适应性和有效性。</w:t>
      </w:r>
    </w:p>
    <w:p>
      <w:pPr>
        <w:pStyle w:val="Heading3"/>
        <w:ind w:firstLine="400"/>
      </w:pPr>
      <w:bookmarkStart w:id="12" w:name="事故隐患和危险源整改标准"/>
      <w:r>
        <w:rPr>
          <w:color w:val="000000"/>
        </w:rPr>
        <w:t>3.4 事故隐患和不安全源整改标准</w:t>
      </w:r>
      <w:bookmarkEnd w:id="12"/>
    </w:p>
    <w:p>
      <w:pPr>
        <w:pStyle w:val="Compact"/>
        <w:numPr>
          <w:ilvl w:val="0"/>
          <w:numId w:val="10"/>
        </w:numPr>
        <w:ind w:firstLine="400"/>
      </w:pPr>
      <w:r>
        <w:rPr>
          <w:color w:val="000000"/>
        </w:rPr>
        <w:t>整改应依照评估报告和整改要求进行，确保整改的针对性和有效性。</w:t>
      </w:r>
    </w:p>
    <w:p>
      <w:pPr>
        <w:pStyle w:val="Compact"/>
        <w:numPr>
          <w:ilvl w:val="0"/>
          <w:numId w:val="10"/>
        </w:numPr>
        <w:ind w:firstLine="400"/>
      </w:pPr>
      <w:r>
        <w:rPr>
          <w:color w:val="000000"/>
        </w:rPr>
        <w:t>整改时限应合理、可行，整改时间应尽可能缩短，但不影响整改质量。</w:t>
      </w:r>
    </w:p>
    <w:p>
      <w:pPr>
        <w:pStyle w:val="Compact"/>
        <w:numPr>
          <w:ilvl w:val="0"/>
          <w:numId w:val="10"/>
        </w:numPr>
        <w:ind w:firstLine="400"/>
      </w:pPr>
      <w:r>
        <w:rPr>
          <w:color w:val="000000"/>
        </w:rPr>
        <w:t>整改结果应进行验证和确认，确保整改措施的有效性和可靠性。</w:t>
      </w:r>
    </w:p>
    <w:p>
      <w:pPr>
        <w:pStyle w:val="Heading3"/>
        <w:ind w:firstLine="400"/>
      </w:pPr>
      <w:bookmarkStart w:id="13" w:name="监督和评估标准"/>
      <w:r>
        <w:rPr>
          <w:color w:val="000000"/>
        </w:rPr>
        <w:t>3.5 监督和评估标准</w:t>
      </w:r>
      <w:bookmarkEnd w:id="13"/>
    </w:p>
    <w:p>
      <w:pPr>
        <w:pStyle w:val="Compact"/>
        <w:numPr>
          <w:ilvl w:val="0"/>
          <w:numId w:val="11"/>
        </w:numPr>
        <w:ind w:firstLine="400"/>
      </w:pPr>
      <w:r>
        <w:rPr>
          <w:color w:val="000000"/>
        </w:rPr>
        <w:t>监督和评估工作应依据企业内部标准进行，包含但不限于检查内容、检查方法和评估指标等。</w:t>
      </w:r>
    </w:p>
    <w:p>
      <w:pPr>
        <w:pStyle w:val="Compact"/>
        <w:numPr>
          <w:ilvl w:val="0"/>
          <w:numId w:val="11"/>
        </w:numPr>
        <w:ind w:firstLine="400"/>
      </w:pPr>
      <w:r>
        <w:rPr>
          <w:color w:val="000000"/>
        </w:rPr>
        <w:t>监督和评估应公正、客观、准确地进行，确保检查结果具备可信性和可操作性。</w:t>
      </w:r>
    </w:p>
    <w:p>
      <w:pPr>
        <w:pStyle w:val="Compact"/>
        <w:numPr>
          <w:ilvl w:val="0"/>
          <w:numId w:val="11"/>
        </w:numPr>
        <w:ind w:firstLine="400"/>
      </w:pPr>
      <w:r>
        <w:rPr>
          <w:color w:val="000000"/>
        </w:rPr>
        <w:t>监督和评估结果应及时反馈给被检查部门，并进行跟踪和督促。</w:t>
      </w:r>
    </w:p>
    <w:p>
      <w:pPr>
        <w:pStyle w:val="Heading2"/>
        <w:ind w:firstLine="400"/>
      </w:pPr>
      <w:bookmarkStart w:id="14" w:name="考核标准"/>
      <w:r>
        <w:rPr>
          <w:color w:val="000000"/>
        </w:rPr>
        <w:t>4.考核标准</w:t>
      </w:r>
      <w:bookmarkEnd w:id="14"/>
    </w:p>
    <w:p>
      <w:pPr>
        <w:pStyle w:val="Heading3"/>
        <w:ind w:firstLine="400"/>
      </w:pPr>
      <w:bookmarkStart w:id="15" w:name="事故隐患和危险源识别考核标准"/>
      <w:r>
        <w:rPr>
          <w:color w:val="000000"/>
        </w:rPr>
        <w:t>4.1 事故隐患和不安全源识别考核标准</w:t>
      </w:r>
      <w:bookmarkEnd w:id="15"/>
    </w:p>
    <w:p>
      <w:pPr>
        <w:pStyle w:val="Compact"/>
        <w:numPr>
          <w:ilvl w:val="0"/>
          <w:numId w:val="12"/>
        </w:numPr>
        <w:ind w:firstLine="400"/>
      </w:pPr>
      <w:r>
        <w:rPr>
          <w:color w:val="000000"/>
        </w:rPr>
        <w:t>识别工作应依照制度要求进行，识别结果应准确完整。</w:t>
      </w:r>
    </w:p>
    <w:p>
      <w:pPr>
        <w:pStyle w:val="Compact"/>
        <w:numPr>
          <w:ilvl w:val="0"/>
          <w:numId w:val="12"/>
        </w:numPr>
        <w:ind w:firstLine="400"/>
      </w:pPr>
      <w:r>
        <w:rPr>
          <w:color w:val="000000"/>
        </w:rPr>
        <w:t>识别工作应定时完成，识别报告应及时提交。</w:t>
      </w:r>
    </w:p>
    <w:p>
      <w:pPr>
        <w:pStyle w:val="Compact"/>
        <w:numPr>
          <w:ilvl w:val="0"/>
          <w:numId w:val="12"/>
        </w:numPr>
        <w:ind w:firstLine="400"/>
      </w:pPr>
      <w:r>
        <w:rPr>
          <w:color w:val="000000"/>
        </w:rPr>
        <w:t>识别结果应被接受并转化为评估和掌控措施。</w:t>
      </w:r>
    </w:p>
    <w:p>
      <w:pPr>
        <w:pStyle w:val="Heading3"/>
        <w:ind w:firstLine="400"/>
      </w:pPr>
      <w:bookmarkStart w:id="16" w:name="事故隐患和危险源评估考核标准"/>
      <w:r>
        <w:rPr>
          <w:color w:val="000000"/>
        </w:rPr>
        <w:t>4.2 事故隐患和不安全源评估考核标准</w:t>
      </w:r>
      <w:bookmarkEnd w:id="16"/>
    </w:p>
    <w:p>
      <w:pPr>
        <w:pStyle w:val="Compact"/>
        <w:numPr>
          <w:ilvl w:val="0"/>
          <w:numId w:val="13"/>
        </w:numPr>
        <w:ind w:firstLine="400"/>
      </w:pPr>
      <w:r>
        <w:rPr>
          <w:color w:val="000000"/>
        </w:rPr>
        <w:t>评估工作应依照制度要求进行，评估结果应准确有效。</w:t>
      </w:r>
    </w:p>
    <w:p>
      <w:pPr>
        <w:pStyle w:val="Compact"/>
        <w:numPr>
          <w:ilvl w:val="0"/>
          <w:numId w:val="13"/>
        </w:numPr>
        <w:ind w:firstLine="400"/>
      </w:pPr>
      <w:r>
        <w:rPr>
          <w:color w:val="000000"/>
        </w:rPr>
        <w:t>评估报告应完整、清楚，并有实在的建议和措施。</w:t>
      </w:r>
    </w:p>
    <w:p>
      <w:pPr>
        <w:pStyle w:val="Compact"/>
        <w:numPr>
          <w:ilvl w:val="0"/>
          <w:numId w:val="13"/>
        </w:numPr>
        <w:ind w:firstLine="400"/>
      </w:pPr>
      <w:r>
        <w:rPr>
          <w:color w:val="000000"/>
        </w:rPr>
        <w:t>评估结果应被接受并转化为掌控措施和整改要求。</w:t>
      </w:r>
    </w:p>
    <w:p>
      <w:pPr>
        <w:pStyle w:val="Heading3"/>
        <w:ind w:firstLine="400"/>
      </w:pPr>
      <w:bookmarkStart w:id="17" w:name="事故隐患和危险源控制考核标准"/>
      <w:r>
        <w:rPr>
          <w:color w:val="000000"/>
        </w:rPr>
        <w:t>4.3 事故隐患和不安全源掌控考核标准</w:t>
      </w:r>
      <w:bookmarkEnd w:id="17"/>
    </w:p>
    <w:p>
      <w:pPr>
        <w:pStyle w:val="Compact"/>
        <w:numPr>
          <w:ilvl w:val="0"/>
          <w:numId w:val="14"/>
        </w:numPr>
        <w:ind w:firstLine="400"/>
      </w:pPr>
      <w:r>
        <w:rPr>
          <w:color w:val="000000"/>
        </w:rPr>
        <w:t>掌控措施应依照制度要求实施，掌控效果应符合要求。</w:t>
      </w:r>
    </w:p>
    <w:p>
      <w:pPr>
        <w:pStyle w:val="Compact"/>
        <w:numPr>
          <w:ilvl w:val="0"/>
          <w:numId w:val="14"/>
        </w:numPr>
        <w:ind w:firstLine="400"/>
      </w:pPr>
      <w:r>
        <w:rPr>
          <w:color w:val="000000"/>
        </w:rPr>
        <w:t>掌控措施应落实到相关岗位和责任人，责任人应履行好职责。</w:t>
      </w:r>
    </w:p>
    <w:p>
      <w:pPr>
        <w:pStyle w:val="Compact"/>
        <w:numPr>
          <w:ilvl w:val="0"/>
          <w:numId w:val="14"/>
        </w:numPr>
        <w:ind w:firstLine="400"/>
      </w:pPr>
      <w:r>
        <w:rPr>
          <w:color w:val="000000"/>
        </w:rPr>
        <w:t>掌控措施应通过评估和检查，检查结果应符合要求。</w:t>
      </w:r>
    </w:p>
    <w:p>
      <w:pPr>
        <w:pStyle w:val="Heading3"/>
        <w:ind w:firstLine="400"/>
      </w:pPr>
      <w:bookmarkStart w:id="18" w:name="事故隐患和危险源整改考核标准"/>
      <w:r>
        <w:rPr>
          <w:color w:val="000000"/>
        </w:rPr>
        <w:t>4.4 事故隐患和不安全源整改考核标准</w:t>
      </w:r>
      <w:bookmarkEnd w:id="18"/>
    </w:p>
    <w:p>
      <w:pPr>
        <w:pStyle w:val="Compact"/>
        <w:numPr>
          <w:ilvl w:val="0"/>
          <w:numId w:val="15"/>
        </w:numPr>
        <w:ind w:firstLine="400"/>
      </w:pPr>
      <w:r>
        <w:rPr>
          <w:color w:val="000000"/>
        </w:rPr>
        <w:t>整改工作应依照制度要求进行，整改措施应有效。</w:t>
      </w:r>
    </w:p>
    <w:p>
      <w:pPr>
        <w:pStyle w:val="Compact"/>
        <w:numPr>
          <w:ilvl w:val="0"/>
          <w:numId w:val="15"/>
        </w:numPr>
        <w:ind w:firstLine="400"/>
      </w:pPr>
      <w:r>
        <w:rPr>
          <w:color w:val="000000"/>
        </w:rPr>
        <w:t>整改工作应定时完成，整改结果应验收合格。</w:t>
      </w:r>
    </w:p>
    <w:p>
      <w:pPr>
        <w:pStyle w:val="Compact"/>
        <w:numPr>
          <w:ilvl w:val="0"/>
          <w:numId w:val="15"/>
        </w:numPr>
        <w:ind w:firstLine="400"/>
      </w:pPr>
      <w:r>
        <w:rPr>
          <w:color w:val="000000"/>
        </w:rPr>
        <w:t>整改结果应被接受并记录，有效整改率应实现肯定要求。</w:t>
      </w:r>
    </w:p>
    <w:p>
      <w:pPr>
        <w:pStyle w:val="Heading3"/>
        <w:ind w:firstLine="400"/>
      </w:pPr>
      <w:bookmarkStart w:id="19" w:name="监督和评估考核标准"/>
      <w:r>
        <w:rPr>
          <w:color w:val="000000"/>
        </w:rPr>
        <w:t>4.5 监督和评估考核标准</w:t>
      </w:r>
      <w:bookmarkEnd w:id="19"/>
    </w:p>
    <w:p>
      <w:pPr>
        <w:pStyle w:val="Compact"/>
        <w:numPr>
          <w:ilvl w:val="0"/>
          <w:numId w:val="16"/>
        </w:numPr>
        <w:ind w:firstLine="400"/>
      </w:pPr>
      <w:r>
        <w:rPr>
          <w:color w:val="000000"/>
        </w:rPr>
        <w:t>监督和评估工作应依照制度要求进行，检查结果应准确可靠。</w:t>
      </w:r>
    </w:p>
    <w:p>
      <w:pPr>
        <w:pStyle w:val="Compact"/>
        <w:numPr>
          <w:ilvl w:val="0"/>
          <w:numId w:val="16"/>
        </w:numPr>
        <w:ind w:firstLine="400"/>
      </w:pPr>
      <w:r>
        <w:rPr>
          <w:color w:val="000000"/>
        </w:rPr>
        <w:t>问题发现和建议看法应实在明确，检查报告应及时提交。</w:t>
      </w:r>
    </w:p>
    <w:p>
      <w:pPr>
        <w:pStyle w:val="Compact"/>
        <w:numPr>
          <w:ilvl w:val="0"/>
          <w:numId w:val="16"/>
        </w:numPr>
        <w:ind w:firstLine="400"/>
      </w:pPr>
      <w:r>
        <w:rPr>
          <w:color w:val="000000"/>
        </w:rPr>
        <w:t>相关部门应乐观响应，对问题及时整改，并自动改进。</w:t>
      </w:r>
    </w:p>
    <w:p>
      <w:pPr>
        <w:pStyle w:val="Heading2"/>
        <w:ind w:firstLine="400"/>
      </w:pPr>
      <w:bookmarkStart w:id="20" w:name="附则"/>
      <w:r>
        <w:rPr>
          <w:color w:val="000000"/>
        </w:rPr>
        <w:t>5.附则</w:t>
      </w:r>
      <w:bookmarkEnd w:id="20"/>
    </w:p>
    <w:p>
      <w:pPr>
        <w:pStyle w:val="Compact"/>
        <w:numPr>
          <w:ilvl w:val="0"/>
          <w:numId w:val="17"/>
        </w:numPr>
        <w:ind w:firstLine="400"/>
      </w:pPr>
      <w:r>
        <w:rPr>
          <w:color w:val="000000"/>
        </w:rPr>
        <w:t>本制度的修订和解释权归企业职能部门全部。</w:t>
      </w:r>
    </w:p>
    <w:p>
      <w:pPr>
        <w:pStyle w:val="Compact"/>
        <w:numPr>
          <w:ilvl w:val="0"/>
          <w:numId w:val="17"/>
        </w:numPr>
        <w:ind w:firstLine="400"/>
      </w:pPr>
      <w:r>
        <w:rPr>
          <w:color w:val="000000"/>
        </w:rPr>
        <w:t>本制度的实施应经过相关部门的培训和确认，确保各职能部门明确职责和执行标准。</w:t>
      </w:r>
    </w:p>
    <w:p>
      <w:pPr>
        <w:pStyle w:val="Compact"/>
        <w:numPr>
          <w:ilvl w:val="0"/>
          <w:numId w:val="17"/>
        </w:numPr>
        <w:ind w:firstLine="400"/>
      </w:pPr>
      <w:r>
        <w:rPr>
          <w:color w:val="000000"/>
        </w:rPr>
        <w:t>职能部门应建立相应的档案和记录，包含但不限于识别报告、评估报告、整改报告、检查报告等。</w:t>
      </w:r>
    </w:p>
    <w:p>
      <w:pPr>
        <w:pStyle w:val="Compact"/>
        <w:numPr>
          <w:ilvl w:val="0"/>
          <w:numId w:val="17"/>
        </w:numPr>
        <w:ind w:firstLine="400"/>
      </w:pPr>
      <w:r>
        <w:rPr>
          <w:color w:val="000000"/>
        </w:rPr>
        <w:t>职能部门应定期对制度的执行情况进行复查和评估，及时发现问题并采取相应措施加以改进。</w:t>
      </w:r>
    </w:p>
    <w:p>
      <w:pPr>
        <w:pStyle w:val="FirstParagraph"/>
        <w:ind w:firstLine="400"/>
      </w:pPr>
      <w:r>
        <w:rPr>
          <w:color w:val="000000"/>
        </w:rPr>
        <w:t>以上就是本企业职能部门订立的事故隐患和不安全源管理制度，旨在确保员工的人身安全，防备事故的发生并降低事故风险。职能部门应依照制度要求进行识别、评估、掌控和整改工作，并依据考核标准检查和评估工作的执行情况，乐观改进和提升管理水平。本制度为职能部门供应了一套完整的管理流程和标准，具备可操作性和可执行性，确保管理工作的科学性和规范性。</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454B4C"/>
    <w:multiLevelType w:val="multilevel"/>
    <w:tmpl w:val="0000000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nsid w:val="170CD2DE"/>
    <w:multiLevelType w:val="multilevel"/>
    <w:tmpl w:val="00000000"/>
    <w:lvl w:ilvl="0">
      <w:start w:val="0"/>
      <w:numFmt w:val="bullet"/>
      <w:lvlText w:val=" "/>
      <w:lvlJc w:val="left"/>
      <w:pPr>
        <w:tabs>
          <w:tab w:val="num" w:pos="0"/>
        </w:tabs>
        <w:ind w:left="480" w:hanging="480"/>
      </w:pPr>
    </w:lvl>
    <w:lvl w:ilvl="1">
      <w:start w:val="0"/>
      <w:numFmt w:val="bullet"/>
      <w:lvlText w:val=" "/>
      <w:lvlJc w:val="left"/>
      <w:pPr>
        <w:tabs>
          <w:tab w:val="num" w:pos="720"/>
        </w:tabs>
        <w:ind w:left="1200" w:hanging="480"/>
      </w:pPr>
    </w:lvl>
    <w:lvl w:ilvl="2">
      <w:start w:val="0"/>
      <w:numFmt w:val="bullet"/>
      <w:lvlText w:val=" "/>
      <w:lvlJc w:val="left"/>
      <w:pPr>
        <w:tabs>
          <w:tab w:val="num" w:pos="1440"/>
        </w:tabs>
        <w:ind w:left="1920" w:hanging="480"/>
      </w:pPr>
    </w:lvl>
    <w:lvl w:ilvl="3">
      <w:start w:val="0"/>
      <w:numFmt w:val="bullet"/>
      <w:lvlText w:val=" "/>
      <w:lvlJc w:val="left"/>
      <w:pPr>
        <w:tabs>
          <w:tab w:val="num" w:pos="2160"/>
        </w:tabs>
        <w:ind w:left="2640" w:hanging="480"/>
      </w:pPr>
    </w:lvl>
    <w:lvl w:ilvl="4">
      <w:start w:val="0"/>
      <w:numFmt w:val="bullet"/>
      <w:lvlText w:val=" "/>
      <w:lvlJc w:val="left"/>
      <w:pPr>
        <w:tabs>
          <w:tab w:val="num" w:pos="2880"/>
        </w:tabs>
        <w:ind w:left="3360" w:hanging="480"/>
      </w:pPr>
    </w:lvl>
    <w:lvl w:ilvl="5">
      <w:start w:val="0"/>
      <w:numFmt w:val="bullet"/>
      <w:lvlText w:val=" "/>
      <w:lvlJc w:val="left"/>
      <w:pPr>
        <w:tabs>
          <w:tab w:val="num" w:pos="3600"/>
        </w:tabs>
        <w:ind w:left="4080" w:hanging="480"/>
      </w:pPr>
    </w:lvl>
    <w:lvl w:ilvl="6">
      <w:start w:val="0"/>
      <w:numFmt w:val="bullet"/>
      <w:lvlText w:val=" "/>
      <w:lvlJc w:val="left"/>
      <w:pPr>
        <w:tabs>
          <w:tab w:val="num" w:pos="4320"/>
        </w:tabs>
        <w:ind w:left="4800" w:hanging="480"/>
      </w:pPr>
    </w:lvl>
    <w:lvl w:ilvl="7">
      <w:start w:val="0"/>
      <w:numFmt w:val="bullet"/>
      <w:lvlText w:val=" "/>
      <w:lvlJc w:val="left"/>
      <w:pPr>
        <w:tabs>
          <w:tab w:val="num" w:pos="5040"/>
        </w:tabs>
        <w:ind w:left="5520" w:hanging="480"/>
      </w:pPr>
    </w:lvl>
    <w:lvl w:ilvl="8">
      <w:start w:val="0"/>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compat/>
  <w:rsids>
    <w:rsidRoot w:val="00590D07"/>
    <w:rsid w:val="00011C8B"/>
    <w:rsid w:val="004E29B3"/>
    <w:rsid w:val="00590D07"/>
    <w:rsid w:val="00784D58"/>
    <w:rsid w:val="008D6863"/>
    <w:rsid w:val="00B86B75"/>
    <w:rsid w:val="00BC48D5"/>
    <w:rsid w:val="00C36279"/>
    <w:rsid w:val="00E315A3"/>
  </w:rsids>
  <m:mathPr>
    <m:mathFont m:val="Lucida Grande"/>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customStyle="1"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customStyle="1"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customStyle="1"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customStyle="1"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customStyle="1"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customStyle="1"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customStyle="1"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style>
  <w:style w:type="character" w:customStyle="1" w:styleId="ExtensionTok">
    <w:name w:val="ExtensionTok"/>
    <w:basedOn w:val="VerbatimCha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475</Characters>
  <Application>Microsoft Office Word</Application>
  <DocSecurity>0</DocSecurity>
  <Lines>12</Lines>
  <Paragraphs>8</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2023-10-25T14:39:00Z</dcterms:created>
  <dcterms:modified xsi:type="dcterms:W3CDTF">2023-10-25T14:39:00Z</dcterms:modified>
</cp:coreProperties>
</file>