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四川金鹿富农机械制造有限公司</w:t>
      </w:r>
    </w:p>
    <w:p>
      <w:pPr>
        <w:ind w:firstLine="2160" w:firstLineChars="600"/>
        <w:jc w:val="both"/>
        <w:rPr>
          <w:rFonts w:hint="eastAsia" w:ascii="微软雅黑" w:hAnsi="微软雅黑" w:eastAsia="微软雅黑" w:cs="微软雅黑"/>
          <w:sz w:val="36"/>
          <w:szCs w:val="36"/>
        </w:rPr>
      </w:pPr>
      <w:bookmarkStart w:id="0" w:name="_GoBack"/>
      <w:r>
        <w:rPr>
          <w:rFonts w:hint="eastAsia" w:ascii="微软雅黑" w:hAnsi="微软雅黑" w:eastAsia="微软雅黑" w:cs="微软雅黑"/>
          <w:sz w:val="36"/>
          <w:szCs w:val="36"/>
        </w:rPr>
        <w:t>安全生产教育和培训制度</w:t>
      </w:r>
    </w:p>
    <w:bookmarkEnd w:id="0"/>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一、依照国家有关规定的内容和时间，对全体员工进行安全生产知识的培训和考核，未经培训或者考核不合格的，不得上岗作业。</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加强对职工进行安全教育与培训，是保证安全生产的基础，是提高职工安全技术素质、搞好安全生产的前提。通过安全教育提高各级生产管理人员和广大职工加强安全工作的责任制与自觉性，增强安全意，才能掌握安全生产的科学知识，提高管理水平和操作技术水平，增强自我防护能力。</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三、安全教育主要内容包括安全生产思想、知识、技能、事故、法制等方面的教育。</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四、严把新进员工素质关，新员工必须进公司、仓库二级教育，经考试合格后方能上岗，并做好新员工二级教育记录档。</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五、公司员工工伤康复者、长期病假者、转岗再就业、停薪留职六个月以上者回公司上班必须进行复工教育，教育合格后才可重新上岗。</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六、对外来参观学习或外来施工单位作业人员进入库区，要由公司进行安全培训，方可进入。</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七、特殊工种作业人员（危险品车辆驾驶员、押运员等），必须经有关主管部门培训考核，取得岗位资格证后并再接受有针对性的安全培训方可上岗作业。</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八、公司对各级管理人员每年进行一次有关安全法律、法规、规章、规定和文件及公司安全生产管理制度的学习，不断提高政策水平和法制观念。</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九、公司每月组织一次一线作业人员安全学习，不断提高一线作业人员的安全意识与操作技能。</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十、在雨季、冬季，要根据季节的变化，进行雨季防雨、防雷电、防洪，冬季防冻、防滑、防煤气中毒的季节性安全教育。</w:t>
      </w:r>
    </w:p>
    <w:p>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安全教育培训的形式或根据各自的特点因地制宜，采取多种形式进行。如：安全知识讲座、报告会、智力竞赛、典型事故、图片展览、电视片、黑板报、墙报、简报等等。安全教育要讲究实效，并要坚持经常化、制度化。</w:t>
      </w:r>
    </w:p>
    <w:p>
      <w:pPr>
        <w:spacing w:line="360" w:lineRule="auto"/>
        <w:ind w:firstLine="480"/>
        <w:rPr>
          <w:rFonts w:hint="eastAsia" w:ascii="微软雅黑" w:hAnsi="微软雅黑" w:eastAsia="微软雅黑" w:cs="微软雅黑"/>
          <w:sz w:val="24"/>
          <w:szCs w:val="24"/>
        </w:rPr>
      </w:pPr>
    </w:p>
    <w:p>
      <w:pPr>
        <w:spacing w:line="360" w:lineRule="auto"/>
        <w:ind w:firstLine="480"/>
        <w:rPr>
          <w:rFonts w:hint="eastAsia" w:ascii="微软雅黑" w:hAnsi="微软雅黑" w:eastAsia="微软雅黑" w:cs="微软雅黑"/>
          <w:sz w:val="24"/>
          <w:szCs w:val="24"/>
        </w:rPr>
      </w:pPr>
    </w:p>
    <w:p>
      <w:pPr>
        <w:spacing w:line="360" w:lineRule="auto"/>
        <w:ind w:firstLine="480"/>
        <w:rPr>
          <w:rFonts w:hint="eastAsia" w:ascii="微软雅黑" w:hAnsi="微软雅黑" w:eastAsia="微软雅黑" w:cs="微软雅黑"/>
          <w:sz w:val="24"/>
          <w:szCs w:val="24"/>
        </w:rPr>
      </w:pPr>
    </w:p>
    <w:p>
      <w:p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四川金鹿富农机械制造有限公司</w:t>
      </w:r>
    </w:p>
    <w:p>
      <w:pPr>
        <w:spacing w:line="360" w:lineRule="auto"/>
        <w:ind w:firstLine="48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2022年5月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DYyZjVkZTIxZTdjOTUwMTllMTFkMzY4OWU0ZjEifQ=="/>
  </w:docVars>
  <w:rsids>
    <w:rsidRoot w:val="152A5EEB"/>
    <w:rsid w:val="152A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2024-04-18T08:11:00Z</dcterms:created>
  <dc:creator>A0.雕刻时光</dc:creator>
  <cp:lastModifiedBy>A0.雕刻时光</cp:lastModifiedBy>
  <dcterms:modified xsi:type="dcterms:W3CDTF">2024-04-18T08:11:55Z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048ED4B5532A4E959C95E9516D3ECAEC_11</vt:lpwstr>
  </property>
</Properties>
</file>