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200"/>
        <w:jc w:val="both"/>
        <w:rPr>
          <w:rFonts w:hint="eastAsia"/>
          <w:sz w:val="28"/>
          <w:szCs w:val="36"/>
          <w:lang w:eastAsia="zh-CN"/>
        </w:rPr>
      </w:pPr>
    </w:p>
    <w:p>
      <w:pPr>
        <w:ind w:firstLine="3200" w:firstLineChars="1000"/>
        <w:jc w:val="both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安全生产事故管理制度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燃气企业发生生产安全事故后，迅速启动相应的应急救援预案，积极组织抢险与救援，妥善处理，控制事态，减少人员伤亡和财产损失；按照有关规定及时、如实向当地政府及有关部门报告。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企业发生事故后，应按照有关规定成立事故处置组或调查组，进行事故调查或配合有关政府部门的事故调查；按照事故处理的“四不放过”原则，查清事故原因、处理事故责任人、教育相关人员、落实事故整改和预防措施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建立事故事件档案和管理台账；对事故事件数据进行分类分级统计、分析。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GU1ZjY3MjZlMzY2MGU5YTE2Y2JlMzJkYTQwZDYifQ=="/>
  </w:docVars>
  <w:rsids>
    <w:rsidRoot w:val="23E271BF"/>
    <w:rsid w:val="23E271BF"/>
    <w:rsid w:val="7904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2024-04-17T04:08:00Z</dcterms:created>
  <dc:creator>蒲桂君</dc:creator>
  <cp:lastModifiedBy>蒲桂君</cp:lastModifiedBy>
  <dcterms:modified xsi:type="dcterms:W3CDTF">2024-04-17T04:10:41Z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C37722D5C0654D2EAB4AAB39D4F8A1F1_13</vt:lpwstr>
  </property>
</Properties>
</file>