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jc w:val="center"/>
      </w:pPr>
      <w:bookmarkStart w:id="0" w:name="_Toc29519"/>
      <w:r>
        <w:rPr>
          <w:rFonts w:hAnsiTheme="minorEastAsia" w:eastAsiaTheme="minorEastAsia"/>
        </w:rPr>
        <w:t>安全生产奖惩制度</w:t>
      </w:r>
      <w:bookmarkEnd w:id="0"/>
    </w:p>
    <w:p>
      <w:pPr>
        <w:ind w:firstLine="584"/>
      </w:pPr>
    </w:p>
    <w:p>
      <w:pPr>
        <w:spacing w:line="360" w:lineRule="auto"/>
        <w:ind w:firstLine="1546" w:firstLineChars="550"/>
        <w:jc w:val="left"/>
        <w:rPr>
          <w:b/>
          <w:szCs w:val="28"/>
        </w:rPr>
      </w:pPr>
      <w:r>
        <w:rPr>
          <w:rFonts w:hint="eastAsia"/>
          <w:b/>
          <w:szCs w:val="28"/>
        </w:rPr>
        <w:t>编    制：</w:t>
      </w:r>
    </w:p>
    <w:p>
      <w:pPr>
        <w:spacing w:line="360" w:lineRule="auto"/>
        <w:ind w:firstLine="1546" w:firstLineChars="550"/>
        <w:jc w:val="left"/>
        <w:rPr>
          <w:b/>
          <w:szCs w:val="28"/>
        </w:rPr>
      </w:pPr>
      <w:r>
        <w:rPr>
          <w:rFonts w:hint="eastAsia"/>
          <w:b/>
          <w:szCs w:val="28"/>
        </w:rPr>
        <w:t>审    核：</w:t>
      </w:r>
    </w:p>
    <w:p>
      <w:pPr>
        <w:spacing w:line="360" w:lineRule="auto"/>
        <w:ind w:firstLine="1546" w:firstLineChars="550"/>
        <w:jc w:val="left"/>
        <w:rPr>
          <w:b/>
          <w:szCs w:val="28"/>
        </w:rPr>
      </w:pPr>
      <w:r>
        <w:rPr>
          <w:rFonts w:hint="eastAsia"/>
          <w:b/>
          <w:szCs w:val="28"/>
        </w:rPr>
        <w:t>批    准：</w:t>
      </w:r>
    </w:p>
    <w:p>
      <w:pPr>
        <w:spacing w:line="360" w:lineRule="auto"/>
        <w:ind w:firstLine="1546" w:firstLineChars="550"/>
        <w:jc w:val="left"/>
        <w:rPr>
          <w:b/>
          <w:szCs w:val="28"/>
        </w:rPr>
      </w:pPr>
      <w:r>
        <w:rPr>
          <w:rFonts w:hint="eastAsia"/>
          <w:b/>
          <w:szCs w:val="28"/>
        </w:rPr>
        <w:t>受控状态：</w:t>
      </w:r>
    </w:p>
    <w:p>
      <w:pPr>
        <w:spacing w:line="360" w:lineRule="auto"/>
        <w:ind w:firstLine="1546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hint="eastAsia"/>
          <w:b/>
          <w:szCs w:val="28"/>
        </w:rPr>
        <w:t>文件控制号：</w:t>
      </w:r>
    </w:p>
    <w:p>
      <w:pPr>
        <w:ind w:firstLine="1546" w:firstLineChars="550"/>
        <w:jc w:val="left"/>
        <w:rPr>
          <w:b/>
          <w:szCs w:val="28"/>
        </w:rPr>
      </w:pPr>
    </w:p>
    <w:p>
      <w:pPr>
        <w:ind w:firstLine="1546" w:firstLineChars="550"/>
        <w:jc w:val="left"/>
        <w:rPr>
          <w:b/>
          <w:szCs w:val="28"/>
        </w:rPr>
      </w:pPr>
    </w:p>
    <w:p>
      <w:pPr>
        <w:ind w:firstLine="0" w:firstLineChars="0"/>
        <w:jc w:val="center"/>
        <w:rPr>
          <w:szCs w:val="28"/>
        </w:rPr>
      </w:pPr>
      <w:r>
        <w:rPr>
          <w:rFonts w:hint="eastAsia"/>
          <w:b/>
          <w:sz w:val="44"/>
          <w:szCs w:val="44"/>
        </w:rPr>
        <w:t>四川省南部县天然气公司</w:t>
      </w:r>
    </w:p>
    <w:p>
      <w:pPr>
        <w:ind w:firstLine="0" w:firstLineChars="0"/>
        <w:jc w:val="center"/>
        <w:rPr>
          <w:rFonts w:ascii="Times New Roman" w:hAnsi="Times New Roman" w:eastAsiaTheme="minorEastAsia"/>
          <w:szCs w:val="28"/>
        </w:rPr>
      </w:pPr>
      <w:r>
        <w:rPr>
          <w:rFonts w:cs="Arial Unicode MS" w:asciiTheme="minorEastAsia" w:hAnsiTheme="minorEastAsia" w:eastAsiaTheme="minorEastAsia"/>
          <w:b/>
          <w:sz w:val="44"/>
          <w:szCs w:val="28"/>
        </w:rPr>
        <w:t>二</w:t>
      </w:r>
      <w:r>
        <w:rPr>
          <w:rFonts w:hint="eastAsia" w:ascii="Arial Unicode MS" w:hAnsi="Arial Unicode MS" w:eastAsia="Arial Unicode MS" w:cs="Arial Unicode MS"/>
          <w:sz w:val="44"/>
          <w:szCs w:val="28"/>
          <w:lang w:val="en-US" w:eastAsia="zh-CN"/>
        </w:rPr>
        <w:t>〇二四</w:t>
      </w:r>
      <w:r>
        <w:rPr>
          <w:rFonts w:cs="Arial Unicode MS" w:asciiTheme="minorEastAsia" w:hAnsiTheme="minorEastAsia" w:eastAsiaTheme="minorEastAsia"/>
          <w:b/>
          <w:sz w:val="44"/>
          <w:szCs w:val="28"/>
        </w:rPr>
        <w:t>年</w:t>
      </w:r>
      <w:r>
        <w:rPr>
          <w:rFonts w:hint="eastAsia" w:cs="Arial Unicode MS" w:asciiTheme="minorEastAsia" w:hAnsiTheme="minorEastAsia" w:eastAsiaTheme="minorEastAsia"/>
          <w:b/>
          <w:sz w:val="44"/>
          <w:szCs w:val="28"/>
          <w:lang w:val="en-US" w:eastAsia="zh-CN"/>
        </w:rPr>
        <w:t>一</w:t>
      </w:r>
      <w:bookmarkStart w:id="13" w:name="_GoBack"/>
      <w:bookmarkEnd w:id="13"/>
      <w:r>
        <w:rPr>
          <w:rFonts w:cs="Arial Unicode MS" w:asciiTheme="minorEastAsia" w:hAnsiTheme="minorEastAsia" w:eastAsiaTheme="minorEastAsia"/>
          <w:b/>
          <w:sz w:val="44"/>
          <w:szCs w:val="28"/>
        </w:rPr>
        <w:t>月</w:t>
      </w:r>
    </w:p>
    <w:p>
      <w:pPr>
        <w:ind w:firstLine="584"/>
        <w:jc w:val="left"/>
        <w:rPr>
          <w:rFonts w:ascii="Times New Roman" w:hAnsi="Times New Roman" w:eastAsiaTheme="minorEastAsia"/>
          <w:szCs w:val="28"/>
        </w:rPr>
      </w:pPr>
    </w:p>
    <w:p>
      <w:pPr>
        <w:ind w:firstLine="584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br w:type="page"/>
      </w:r>
      <w:bookmarkStart w:id="1" w:name="_Toc426230873"/>
      <w:bookmarkStart w:id="2" w:name="_Toc426042512"/>
    </w:p>
    <w:p>
      <w:pPr>
        <w:ind w:firstLine="584"/>
        <w:rPr>
          <w:kern w:val="0"/>
          <w:shd w:val="clear" w:color="auto" w:fill="FFFFFF"/>
        </w:rPr>
      </w:pPr>
    </w:p>
    <w:p>
      <w:pPr>
        <w:pStyle w:val="3"/>
        <w:rPr>
          <w:kern w:val="0"/>
          <w:shd w:val="clear" w:color="auto" w:fill="FFFFFF"/>
        </w:rPr>
      </w:pPr>
      <w:bookmarkStart w:id="3" w:name="_Toc12334"/>
      <w:r>
        <w:rPr>
          <w:kern w:val="0"/>
          <w:shd w:val="clear" w:color="auto" w:fill="FFFFFF"/>
        </w:rPr>
        <w:t xml:space="preserve">1 </w:t>
      </w:r>
      <w:r>
        <w:rPr>
          <w:rFonts w:hAnsiTheme="minorEastAsia"/>
          <w:kern w:val="0"/>
          <w:shd w:val="clear" w:color="auto" w:fill="FFFFFF"/>
        </w:rPr>
        <w:t>总则</w:t>
      </w:r>
      <w:bookmarkEnd w:id="1"/>
      <w:bookmarkEnd w:id="2"/>
      <w:bookmarkEnd w:id="3"/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1.1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为了贯彻执行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“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安全第一，预防为主，综合治理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”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的国家安全生产方针，促进公司安全生产，奖励完成安全生产目标的优秀部门和个人，惩戒表现较差的部门和个人，激励</w:t>
      </w:r>
      <w:r>
        <w:rPr>
          <w:rFonts w:ascii="Times New Roman" w:hAnsiTheme="minorEastAsia" w:eastAsiaTheme="minorEastAsia"/>
        </w:rPr>
        <w:t>各级员工奋发进取、自觉搞好安全生产工作的热情，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特制定本制度。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 xml:space="preserve">1.2 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本制度适用于公司各部门（区域）、承包经营单位。</w:t>
      </w:r>
    </w:p>
    <w:p>
      <w:pPr>
        <w:pStyle w:val="3"/>
        <w:rPr>
          <w:kern w:val="0"/>
          <w:shd w:val="clear" w:color="auto" w:fill="FFFFFF"/>
        </w:rPr>
      </w:pPr>
      <w:bookmarkStart w:id="4" w:name="_Toc18504"/>
      <w:bookmarkStart w:id="5" w:name="_Toc426230874"/>
      <w:bookmarkStart w:id="6" w:name="_Toc426042513"/>
      <w:r>
        <w:rPr>
          <w:kern w:val="0"/>
          <w:shd w:val="clear" w:color="auto" w:fill="FFFFFF"/>
        </w:rPr>
        <w:t xml:space="preserve">2 </w:t>
      </w:r>
      <w:r>
        <w:rPr>
          <w:rFonts w:hAnsiTheme="minorEastAsia"/>
          <w:kern w:val="0"/>
          <w:shd w:val="clear" w:color="auto" w:fill="FFFFFF"/>
        </w:rPr>
        <w:t>奖励</w:t>
      </w:r>
      <w:bookmarkEnd w:id="4"/>
      <w:bookmarkEnd w:id="5"/>
      <w:bookmarkEnd w:id="6"/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凡具有下列情况之一者，分别给予表扬或奖励：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对于安全生产成绩显著的班组和个人；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2.2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由于认真检查，及时发现重大事故隐患、采取有效措施、积极参与抢险救灾，避免重大火灾、爆炸、人身伤亡及其它显著成绩者；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2.3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为保证安全生产，积极提出合理化建议，经有关部门审查，确有很大价值，列为安全技术措施项目，实施后，经实践考核有效者；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2.4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对改善劳动条件，预防职业病发生，对环境保护贡献较大的技术改进项目的主要成员；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2.5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在发生重大火灾、爆炸事故中，临危不惧，奋勇抢险、保护国家财产和人身安全，避免事故扩大，措施得力，成绩突出者；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2.6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及时制止违章操作并转危为安者；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2.7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举报事故经确认属实者；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2.8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在安全专项活动及安全宣传中成绩显著的部门和个人。</w:t>
      </w:r>
    </w:p>
    <w:p>
      <w:pPr>
        <w:pStyle w:val="3"/>
        <w:rPr>
          <w:kern w:val="0"/>
          <w:shd w:val="clear" w:color="auto" w:fill="FFFFFF"/>
        </w:rPr>
      </w:pPr>
      <w:bookmarkStart w:id="7" w:name="_Toc426230875"/>
      <w:bookmarkStart w:id="8" w:name="_Toc7559"/>
      <w:bookmarkStart w:id="9" w:name="_Toc426042514"/>
      <w:r>
        <w:rPr>
          <w:kern w:val="0"/>
          <w:shd w:val="clear" w:color="auto" w:fill="FFFFFF"/>
        </w:rPr>
        <w:t xml:space="preserve">3 </w:t>
      </w:r>
      <w:r>
        <w:rPr>
          <w:rFonts w:hAnsiTheme="minorEastAsia"/>
          <w:kern w:val="0"/>
          <w:shd w:val="clear" w:color="auto" w:fill="FFFFFF"/>
        </w:rPr>
        <w:t>处罚</w:t>
      </w:r>
      <w:bookmarkEnd w:id="7"/>
      <w:bookmarkEnd w:id="8"/>
      <w:bookmarkEnd w:id="9"/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对违反公司安全生产规章制度的部门和个人，公司将严格追究其违章违纪和造成事故的责任。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各种违章违纪的处罚：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凡不按公司规定办理各种作业票、证，视情节罚作业部门或个人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50~100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次，各种作业票、证涂改、代签、越级审批无效；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3.1.2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凡违反禁烟规定，在禁烟区吸烟者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人，在禁烟区内的各部门辖区内，发现烟头、烟灰等迹象罚责任部门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个；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3.1.3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违反劳动保护用品管理制度，不按规定着装，扣罚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人，穿带钉鞋进入易燃易爆等区域罚款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3.1.4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各种车辆无安全措施罚款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100/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次，罚所经门卫责任人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3.1.5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凡不按规定持证上岗者，罚款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人、次；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3.1.6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损坏各种安全防护设施，防、灭火器材、安全标志的，赔偿经济损失的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50%~100%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3.1.7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不按规定时间、内容对新工人进行入公司、调岗、复工教育的，扣罚责任部门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100/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人、次；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3.1.8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各类事故隐患未限期整改的，扣罚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50~100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项；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3.1.9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发生各类事故隐瞒不报、谎报或拖延不报的，扣罚责任部门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100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3.1.10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各种作业票、证未经监护人、安全负责人签字的视为无效，扣罚责任部门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3.1.11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发生事故后，凡不按照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“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四不放过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”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原则进行事故处理的，扣罚责任部门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200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起；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3.1.12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进入毒、噪声等具有职业危害的工作场所，未按规定佩戴劳动防护用品者，经说服教育屡教不改者扣罚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人。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3.1.13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其它各种违章，视情节扣罚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50~10000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元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/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人</w:t>
      </w: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·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次；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 xml:space="preserve">3.2 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凡下列情况之一者，必须严肃处理：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3.2.1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对工作不负责任，因故发泄私愤，有意扰乱操作，造成经济损失和违反劳动纪律，不严格执行规章制度造成事故的主要责任者；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3.2.2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对已列入安全技术措施项目，不按期实施又不采取应急措施而造成事故的主要责任者；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3.2.3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对违章指挥、冒险作业，劝阻不听而造成事故的主要责任者；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3.2.4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对忽视劳动条件，削减或取消安全设施、设备而造成事故的主要责任者；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3.2.5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对限期整改的事故隐患，不按期整改而造成事故的主要责任者；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3.2.6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对发生事故后，破坏现场，隐瞒不报或谎报的主要责任者；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3.2.7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对发生事故后，不认真吸取教训，不采取措施致使事故重复发生的主要责任者；</w:t>
      </w:r>
    </w:p>
    <w:p>
      <w:pPr>
        <w:ind w:firstLine="584"/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/>
          <w:kern w:val="0"/>
          <w:szCs w:val="21"/>
          <w:shd w:val="clear" w:color="auto" w:fill="FFFFFF"/>
        </w:rPr>
        <w:t>3.2.8</w:t>
      </w:r>
      <w:r>
        <w:rPr>
          <w:rFonts w:ascii="Times New Roman" w:hAnsiTheme="minorEastAsia" w:eastAsiaTheme="minorEastAsia"/>
          <w:color w:val="000000"/>
          <w:kern w:val="0"/>
          <w:szCs w:val="21"/>
          <w:shd w:val="clear" w:color="auto" w:fill="FFFFFF"/>
        </w:rPr>
        <w:t>在上级组织开展的专项安全活动期间，发生事故的主要责任者。</w:t>
      </w:r>
    </w:p>
    <w:p>
      <w:pPr>
        <w:pStyle w:val="3"/>
        <w:rPr>
          <w:rFonts w:hAnsi="Times New Roman"/>
          <w:kern w:val="0"/>
          <w:shd w:val="clear" w:color="auto" w:fill="FFFFFF"/>
        </w:rPr>
      </w:pPr>
      <w:bookmarkStart w:id="10" w:name="_Toc426230876"/>
      <w:bookmarkStart w:id="11" w:name="_Toc426042515"/>
      <w:bookmarkStart w:id="12" w:name="_Toc26646"/>
      <w:r>
        <w:rPr>
          <w:rFonts w:hAnsi="Times New Roman"/>
          <w:kern w:val="0"/>
          <w:shd w:val="clear" w:color="auto" w:fill="FFFFFF"/>
        </w:rPr>
        <w:t xml:space="preserve">4 </w:t>
      </w:r>
      <w:r>
        <w:rPr>
          <w:kern w:val="0"/>
          <w:shd w:val="clear" w:color="auto" w:fill="FFFFFF"/>
        </w:rPr>
        <w:t>相关记录</w:t>
      </w:r>
      <w:bookmarkEnd w:id="10"/>
      <w:bookmarkEnd w:id="11"/>
      <w:bookmarkEnd w:id="12"/>
    </w:p>
    <w:p>
      <w:pPr>
        <w:ind w:firstLine="584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《安全生产奖罚单》等。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DdkNjFkODYyNTg2ZmQwNjYyZDc2N2U2NmNlMjkifQ=="/>
  </w:docVars>
  <w:rsids>
    <w:rsidRoot w:val="00000000"/>
    <w:rsid w:val="5B4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after="240"/>
      <w:ind w:firstLine="0" w:firstLineChars="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2024-04-17T00:58:01Z</dcterms:created>
  <dc:creator>Dell</dc:creator>
  <cp:lastModifiedBy>Dell</cp:lastModifiedBy>
  <dcterms:modified xsi:type="dcterms:W3CDTF">2024-04-17T00:58:22Z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0A0667727CC04780BD083C99D263F55E_12</vt:lpwstr>
  </property>
</Properties>
</file>