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center"/>
        <w:rPr>
          <w:sz w:val="56"/>
        </w:rPr>
      </w:pPr>
      <w:r>
        <w:rPr>
          <w:kern w:val="0"/>
        </w:rPr>
        <w:t>生产事故报告和调查处理制度</w:t>
      </w:r>
    </w:p>
    <w:p>
      <w:pPr>
        <w:ind w:firstLine="1540" w:firstLineChars="550"/>
        <w:jc w:val="left"/>
        <w:rPr>
          <w:rFonts w:ascii="Arial Unicode MS" w:hAnsi="Arial Unicode MS" w:eastAsia="Arial Unicode MS" w:cs="Arial Unicode MS"/>
          <w:szCs w:val="28"/>
        </w:rPr>
      </w:pPr>
    </w:p>
    <w:p>
      <w:pPr>
        <w:spacing w:line="360" w:lineRule="auto"/>
        <w:ind w:firstLine="1540" w:firstLineChars="550"/>
        <w:jc w:val="left"/>
        <w:rPr>
          <w:rFonts w:ascii="Arial Unicode MS" w:hAnsi="Arial Unicode MS" w:eastAsia="Arial Unicode MS" w:cs="Arial Unicode MS"/>
          <w:szCs w:val="28"/>
        </w:rPr>
      </w:pPr>
      <w:r>
        <w:rPr>
          <w:rFonts w:ascii="Arial Unicode MS" w:hAnsi="Arial Unicode MS" w:eastAsia="Arial Unicode MS" w:cs="Arial Unicode MS"/>
          <w:szCs w:val="28"/>
        </w:rPr>
        <w:t>编    制：</w:t>
      </w:r>
    </w:p>
    <w:p>
      <w:pPr>
        <w:spacing w:line="360" w:lineRule="auto"/>
        <w:ind w:firstLine="1540" w:firstLineChars="550"/>
        <w:jc w:val="left"/>
        <w:rPr>
          <w:rFonts w:ascii="Arial Unicode MS" w:hAnsi="Arial Unicode MS" w:eastAsia="Arial Unicode MS" w:cs="Arial Unicode MS"/>
          <w:szCs w:val="28"/>
        </w:rPr>
      </w:pPr>
      <w:r>
        <w:rPr>
          <w:rFonts w:ascii="Arial Unicode MS" w:hAnsi="Arial Unicode MS" w:eastAsia="Arial Unicode MS" w:cs="Arial Unicode MS"/>
          <w:szCs w:val="28"/>
        </w:rPr>
        <w:t>审    核：</w:t>
      </w:r>
    </w:p>
    <w:p>
      <w:pPr>
        <w:spacing w:line="360" w:lineRule="auto"/>
        <w:ind w:firstLine="1540" w:firstLineChars="550"/>
        <w:jc w:val="left"/>
        <w:rPr>
          <w:rFonts w:ascii="Arial Unicode MS" w:hAnsi="Arial Unicode MS" w:eastAsia="Arial Unicode MS" w:cs="Arial Unicode MS"/>
          <w:szCs w:val="28"/>
        </w:rPr>
      </w:pPr>
      <w:r>
        <w:rPr>
          <w:rFonts w:ascii="Arial Unicode MS" w:hAnsi="Arial Unicode MS" w:eastAsia="Arial Unicode MS" w:cs="Arial Unicode MS"/>
          <w:szCs w:val="28"/>
        </w:rPr>
        <w:t>批    准：</w:t>
      </w:r>
    </w:p>
    <w:p>
      <w:pPr>
        <w:spacing w:line="360" w:lineRule="auto"/>
        <w:ind w:firstLine="1540" w:firstLineChars="550"/>
        <w:jc w:val="left"/>
        <w:rPr>
          <w:rFonts w:ascii="Arial Unicode MS" w:hAnsi="Arial Unicode MS" w:eastAsia="Arial Unicode MS" w:cs="Arial Unicode MS"/>
          <w:szCs w:val="28"/>
        </w:rPr>
      </w:pPr>
      <w:r>
        <w:rPr>
          <w:rFonts w:ascii="Arial Unicode MS" w:hAnsi="Arial Unicode MS" w:eastAsia="Arial Unicode MS" w:cs="Arial Unicode MS"/>
          <w:szCs w:val="28"/>
        </w:rPr>
        <w:t>受控状态：</w:t>
      </w:r>
    </w:p>
    <w:p>
      <w:pPr>
        <w:spacing w:line="360" w:lineRule="auto"/>
        <w:ind w:firstLine="1540" w:firstLineChars="550"/>
        <w:jc w:val="left"/>
        <w:rPr>
          <w:rFonts w:ascii="Arial Unicode MS" w:hAnsi="Arial Unicode MS" w:eastAsia="Arial Unicode MS" w:cs="Arial Unicode MS"/>
          <w:szCs w:val="28"/>
        </w:rPr>
      </w:pPr>
      <w:r>
        <w:rPr>
          <w:rFonts w:ascii="Arial Unicode MS" w:hAnsi="Arial Unicode MS" w:eastAsia="Arial Unicode MS" w:cs="Arial Unicode MS"/>
          <w:szCs w:val="28"/>
        </w:rPr>
        <w:t>文件控制号：</w:t>
      </w:r>
      <w:bookmarkStart w:id="22" w:name="_GoBack"/>
      <w:bookmarkEnd w:id="22"/>
    </w:p>
    <w:p>
      <w:pPr>
        <w:ind w:firstLine="1540" w:firstLineChars="550"/>
        <w:jc w:val="left"/>
        <w:rPr>
          <w:rFonts w:ascii="Arial Unicode MS" w:hAnsi="Arial Unicode MS" w:eastAsia="Arial Unicode MS" w:cs="Arial Unicode MS"/>
          <w:szCs w:val="28"/>
        </w:rPr>
      </w:pPr>
    </w:p>
    <w:p>
      <w:pPr>
        <w:ind w:firstLine="0" w:firstLineChars="0"/>
        <w:jc w:val="center"/>
        <w:rPr>
          <w:rFonts w:ascii="Arial Unicode MS" w:hAnsi="Arial Unicode MS" w:eastAsia="Arial Unicode MS" w:cs="Arial Unicode MS"/>
          <w:b/>
          <w:sz w:val="44"/>
          <w:szCs w:val="44"/>
        </w:rPr>
      </w:pPr>
      <w:r>
        <w:rPr>
          <w:rFonts w:ascii="Arial Unicode MS" w:hAnsi="Arial Unicode MS" w:eastAsia="Arial Unicode MS" w:cs="Arial Unicode MS"/>
          <w:b/>
          <w:sz w:val="44"/>
          <w:szCs w:val="44"/>
        </w:rPr>
        <w:t>四川省南部县天然气公司</w:t>
      </w:r>
    </w:p>
    <w:p>
      <w:pPr>
        <w:ind w:firstLine="0" w:firstLineChars="0"/>
        <w:jc w:val="center"/>
      </w:pPr>
      <w:r>
        <w:rPr>
          <w:rFonts w:ascii="Arial Unicode MS" w:hAnsi="Arial Unicode MS" w:eastAsia="Arial Unicode MS" w:cs="Arial Unicode MS"/>
          <w:b/>
          <w:sz w:val="44"/>
          <w:szCs w:val="28"/>
        </w:rPr>
        <w:t>二</w:t>
      </w:r>
      <w:r>
        <w:rPr>
          <w:rFonts w:hint="eastAsia" w:ascii="Arial Unicode MS" w:hAnsi="Arial Unicode MS" w:eastAsia="Arial Unicode MS" w:cs="Arial Unicode MS"/>
          <w:b/>
          <w:sz w:val="44"/>
          <w:szCs w:val="28"/>
          <w:lang w:val="en-US" w:eastAsia="zh-CN"/>
        </w:rPr>
        <w:t>〇二四</w:t>
      </w:r>
      <w:r>
        <w:rPr>
          <w:rFonts w:ascii="Arial Unicode MS" w:hAnsi="Arial Unicode MS" w:eastAsia="Arial Unicode MS" w:cs="Arial Unicode MS"/>
          <w:b/>
          <w:sz w:val="44"/>
          <w:szCs w:val="28"/>
        </w:rPr>
        <w:t>年</w:t>
      </w:r>
      <w:r>
        <w:rPr>
          <w:rFonts w:hint="eastAsia" w:ascii="Arial Unicode MS" w:hAnsi="Arial Unicode MS" w:eastAsia="Arial Unicode MS" w:cs="Arial Unicode MS"/>
          <w:b/>
          <w:sz w:val="44"/>
          <w:szCs w:val="28"/>
          <w:lang w:val="en-US" w:eastAsia="zh-CN"/>
        </w:rPr>
        <w:t>一</w:t>
      </w:r>
      <w:r>
        <w:rPr>
          <w:rFonts w:ascii="Arial Unicode MS" w:hAnsi="Arial Unicode MS" w:eastAsia="Arial Unicode MS" w:cs="Arial Unicode MS"/>
          <w:b/>
          <w:sz w:val="44"/>
          <w:szCs w:val="28"/>
        </w:rPr>
        <w:t>月</w:t>
      </w:r>
    </w:p>
    <w:p>
      <w:pPr>
        <w:widowControl/>
        <w:ind w:firstLine="0" w:firstLineChars="0"/>
        <w:jc w:val="left"/>
        <w:rPr>
          <w:rFonts w:ascii="宋体" w:hAnsi="宋体"/>
          <w:szCs w:val="28"/>
        </w:rPr>
      </w:pPr>
      <w:r>
        <w:br w:type="page"/>
      </w:r>
    </w:p>
    <w:p>
      <w:pPr>
        <w:ind w:firstLine="584"/>
        <w:jc w:val="left"/>
        <w:rPr>
          <w:kern w:val="0"/>
          <w:shd w:val="clear" w:color="auto" w:fill="FFFFFF"/>
        </w:rPr>
      </w:pPr>
      <w:bookmarkStart w:id="0" w:name="_Toc426042504"/>
    </w:p>
    <w:p>
      <w:pPr>
        <w:pStyle w:val="3"/>
        <w:rPr>
          <w:kern w:val="0"/>
          <w:shd w:val="clear" w:color="auto" w:fill="FFFFFF"/>
        </w:rPr>
      </w:pPr>
      <w:bookmarkStart w:id="1" w:name="_Toc426304358"/>
      <w:bookmarkStart w:id="2" w:name="_Toc29164"/>
      <w:r>
        <w:rPr>
          <w:rFonts w:hint="eastAsia"/>
          <w:kern w:val="0"/>
          <w:shd w:val="clear" w:color="auto" w:fill="FFFFFF"/>
        </w:rPr>
        <w:t xml:space="preserve">1 </w:t>
      </w:r>
      <w:r>
        <w:rPr>
          <w:kern w:val="0"/>
          <w:shd w:val="clear" w:color="auto" w:fill="FFFFFF"/>
        </w:rPr>
        <w:t>总则</w:t>
      </w:r>
      <w:bookmarkEnd w:id="0"/>
      <w:bookmarkEnd w:id="1"/>
      <w:bookmarkEnd w:id="2"/>
    </w:p>
    <w:p>
      <w:pPr>
        <w:ind w:firstLine="584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1.1</w:t>
      </w:r>
      <w:r>
        <w:rPr>
          <w:rFonts w:ascii="宋体" w:hAnsi="宋体" w:cs="宋体"/>
          <w:kern w:val="0"/>
          <w:szCs w:val="28"/>
        </w:rPr>
        <w:t>为了贯彻执行</w:t>
      </w:r>
      <w:r>
        <w:rPr>
          <w:rFonts w:hint="eastAsia" w:ascii="宋体" w:hAnsi="宋体" w:cs="宋体"/>
          <w:kern w:val="0"/>
          <w:szCs w:val="28"/>
        </w:rPr>
        <w:t>《</w:t>
      </w:r>
      <w:r>
        <w:rPr>
          <w:rFonts w:ascii="宋体" w:hAnsi="宋体" w:cs="宋体"/>
          <w:kern w:val="0"/>
          <w:szCs w:val="28"/>
        </w:rPr>
        <w:t>安全生产法</w:t>
      </w:r>
      <w:r>
        <w:rPr>
          <w:rFonts w:hint="eastAsia" w:ascii="宋体" w:hAnsi="宋体" w:cs="宋体"/>
          <w:kern w:val="0"/>
          <w:szCs w:val="28"/>
        </w:rPr>
        <w:t>》</w:t>
      </w:r>
      <w:r>
        <w:rPr>
          <w:rFonts w:ascii="宋体" w:hAnsi="宋体" w:cs="宋体"/>
          <w:kern w:val="0"/>
          <w:szCs w:val="28"/>
        </w:rPr>
        <w:t>，做好安全事故的调查处理工作，维护</w:t>
      </w:r>
      <w:r>
        <w:rPr>
          <w:rFonts w:hint="eastAsia" w:ascii="宋体" w:hAnsi="宋体" w:cs="宋体"/>
          <w:kern w:val="0"/>
          <w:szCs w:val="28"/>
        </w:rPr>
        <w:t>公司</w:t>
      </w:r>
      <w:r>
        <w:rPr>
          <w:rFonts w:ascii="宋体" w:hAnsi="宋体" w:cs="宋体"/>
          <w:kern w:val="0"/>
          <w:szCs w:val="28"/>
        </w:rPr>
        <w:t>的利益，保障职工的安全和健康，</w:t>
      </w:r>
      <w:r>
        <w:rPr>
          <w:rFonts w:hint="eastAsia" w:ascii="宋体" w:hAnsi="宋体"/>
          <w:szCs w:val="28"/>
          <w:lang w:val="zh-CN"/>
        </w:rPr>
        <w:t>根据《中华人民共和国安全生产法》、《四川省安全生产条例》、《四川省生产经营单位安全生产责任规定》，制定本制度。</w:t>
      </w:r>
    </w:p>
    <w:p>
      <w:pPr>
        <w:ind w:firstLine="584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1.2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本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制度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所称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生产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事故，指公司及所</w:t>
      </w:r>
      <w:r>
        <w:rPr>
          <w:rFonts w:ascii="宋体" w:hAnsi="宋体" w:cs="宋体"/>
          <w:color w:val="auto"/>
          <w:kern w:val="0"/>
          <w:szCs w:val="21"/>
          <w:shd w:val="clear" w:color="auto" w:fill="FFFFFF"/>
        </w:rPr>
        <w:t>属工程、项目承包商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在生产经营活动中发生并造成生产中断、人员伤亡、财产损失或重大险情的事件。</w:t>
      </w:r>
    </w:p>
    <w:p>
      <w:pPr>
        <w:ind w:firstLine="584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1.3本制度适用于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公司及所属工程、项目承包商在生产经营活动中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的生产事故，包括直接导致本公司生产设施遭受破坏而引起的生产事故（简称事故）。</w:t>
      </w:r>
    </w:p>
    <w:p>
      <w:pPr>
        <w:ind w:firstLine="584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其他事故不适用于本制度，但公司应关注与公司相关的其他事故，如用户使用燃气不当事故等。</w:t>
      </w:r>
    </w:p>
    <w:p>
      <w:pPr>
        <w:ind w:firstLine="584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1.4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公司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安全</w:t>
      </w:r>
      <w:r>
        <w:rPr>
          <w:rFonts w:hint="eastAsia" w:ascii="宋体" w:hAnsi="宋体" w:cs="宋体"/>
          <w:kern w:val="0"/>
          <w:szCs w:val="21"/>
          <w:shd w:val="clear" w:color="auto" w:fill="FFFFFF"/>
        </w:rPr>
        <w:t>管理机构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是所有事故的归口管理部门，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公司主要负责人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是事故管理第一责任人。</w:t>
      </w:r>
    </w:p>
    <w:p>
      <w:pPr>
        <w:pStyle w:val="3"/>
        <w:rPr>
          <w:kern w:val="0"/>
          <w:shd w:val="clear" w:color="auto" w:fill="FFFFFF"/>
        </w:rPr>
      </w:pPr>
      <w:bookmarkStart w:id="3" w:name="_Toc20315"/>
      <w:r>
        <w:rPr>
          <w:rFonts w:hint="eastAsia"/>
          <w:kern w:val="0"/>
          <w:shd w:val="clear" w:color="auto" w:fill="FFFFFF"/>
        </w:rPr>
        <w:t>2 事故分级</w:t>
      </w:r>
      <w:bookmarkEnd w:id="3"/>
    </w:p>
    <w:p>
      <w:pPr>
        <w:ind w:firstLine="584"/>
        <w:rPr>
          <w:szCs w:val="28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2.1根据</w:t>
      </w:r>
      <w:r>
        <w:rPr>
          <w:rFonts w:hint="eastAsia"/>
          <w:szCs w:val="28"/>
        </w:rPr>
        <w:t>事故造成的危害程度、波及范围、影响力大小、人员及财产损失等情况，将生产事故分为两大类，即公司级以上事故和公司级事故。</w:t>
      </w:r>
    </w:p>
    <w:p>
      <w:pPr>
        <w:ind w:firstLine="584"/>
        <w:rPr>
          <w:szCs w:val="28"/>
        </w:rPr>
      </w:pPr>
      <w:r>
        <w:rPr>
          <w:rFonts w:hint="eastAsia"/>
          <w:szCs w:val="28"/>
        </w:rPr>
        <w:t>2.2公司级以上事故按照国家相关规定，分为特别重大级、重大级、较大级和一般级事故，并加入了停气事故分级量化指标。</w:t>
      </w:r>
    </w:p>
    <w:p>
      <w:pPr>
        <w:ind w:firstLine="584"/>
        <w:rPr>
          <w:szCs w:val="28"/>
        </w:rPr>
      </w:pPr>
      <w:r>
        <w:rPr>
          <w:rFonts w:hint="eastAsia"/>
          <w:szCs w:val="28"/>
        </w:rPr>
        <w:t>2.3公司级事故是指在国家规定的一般事故中的细分级，包括公司重大级、较大级、一般级和轻微级。</w:t>
      </w:r>
    </w:p>
    <w:p>
      <w:pPr>
        <w:ind w:firstLine="584"/>
        <w:rPr>
          <w:szCs w:val="28"/>
        </w:rPr>
      </w:pPr>
      <w:r>
        <w:rPr>
          <w:rFonts w:hint="eastAsia"/>
          <w:szCs w:val="28"/>
        </w:rPr>
        <w:t>2.4上述各级事故划分见下表。下表已列入安全管理用表格中。</w:t>
      </w:r>
    </w:p>
    <w:p>
      <w:pPr>
        <w:ind w:firstLine="584"/>
        <w:rPr>
          <w:szCs w:val="28"/>
        </w:rPr>
      </w:pPr>
    </w:p>
    <w:p>
      <w:pPr>
        <w:ind w:firstLine="584"/>
        <w:rPr>
          <w:szCs w:val="28"/>
        </w:rPr>
      </w:pPr>
    </w:p>
    <w:p>
      <w:pPr>
        <w:ind w:firstLine="0" w:firstLineChars="0"/>
        <w:jc w:val="center"/>
        <w:rPr>
          <w:szCs w:val="28"/>
        </w:rPr>
      </w:pPr>
      <w:r>
        <w:rPr>
          <w:szCs w:val="28"/>
        </w:rPr>
        <w:t>事故</w:t>
      </w:r>
      <w:r>
        <w:rPr>
          <w:rFonts w:hint="eastAsia"/>
          <w:szCs w:val="28"/>
        </w:rPr>
        <w:t>等级划分表</w:t>
      </w:r>
    </w:p>
    <w:tbl>
      <w:tblPr>
        <w:tblStyle w:val="5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5298"/>
        <w:gridCol w:w="1276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19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事故等级</w:t>
            </w:r>
          </w:p>
        </w:tc>
        <w:tc>
          <w:tcPr>
            <w:tcW w:w="5298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划分依据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上报机构</w:t>
            </w:r>
          </w:p>
        </w:tc>
        <w:tc>
          <w:tcPr>
            <w:tcW w:w="1187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left="15" w:leftChars="-36" w:hanging="116" w:hangingChars="48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处理机构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特别重大事故</w:t>
            </w:r>
          </w:p>
        </w:tc>
        <w:tc>
          <w:tcPr>
            <w:tcW w:w="5298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187" w:firstLineChars="78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死亡30人及以上；</w:t>
            </w:r>
          </w:p>
          <w:p>
            <w:pPr>
              <w:adjustRightInd w:val="0"/>
              <w:snapToGrid w:val="0"/>
              <w:spacing w:line="240" w:lineRule="atLeast"/>
              <w:ind w:firstLine="187" w:firstLineChars="78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重伤100人及以上（含急性工业中毒，下同）；</w:t>
            </w:r>
          </w:p>
          <w:p>
            <w:pPr>
              <w:adjustRightInd w:val="0"/>
              <w:snapToGrid w:val="0"/>
              <w:spacing w:line="240" w:lineRule="atLeast"/>
              <w:ind w:firstLine="187" w:firstLineChars="78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直接经济损失1亿元及以上。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left="2"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国务院</w:t>
            </w:r>
          </w:p>
        </w:tc>
        <w:tc>
          <w:tcPr>
            <w:tcW w:w="1187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国务院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重大事故</w:t>
            </w:r>
          </w:p>
        </w:tc>
        <w:tc>
          <w:tcPr>
            <w:tcW w:w="5298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187" w:firstLineChars="78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死亡10至29人；</w:t>
            </w:r>
          </w:p>
          <w:p>
            <w:pPr>
              <w:adjustRightInd w:val="0"/>
              <w:snapToGrid w:val="0"/>
              <w:spacing w:line="240" w:lineRule="atLeast"/>
              <w:ind w:firstLine="187" w:firstLineChars="78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重伤50至99人；</w:t>
            </w:r>
          </w:p>
          <w:p>
            <w:pPr>
              <w:adjustRightInd w:val="0"/>
              <w:snapToGrid w:val="0"/>
              <w:spacing w:line="240" w:lineRule="atLeast"/>
              <w:ind w:firstLine="187" w:firstLineChars="78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直接经济损失5000万元至1亿元。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left="2"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国务院</w:t>
            </w:r>
          </w:p>
        </w:tc>
        <w:tc>
          <w:tcPr>
            <w:tcW w:w="1187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left="2"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较大事故</w:t>
            </w:r>
          </w:p>
        </w:tc>
        <w:tc>
          <w:tcPr>
            <w:tcW w:w="5298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187" w:firstLineChars="78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死亡3至9人；</w:t>
            </w:r>
          </w:p>
          <w:p>
            <w:pPr>
              <w:adjustRightInd w:val="0"/>
              <w:snapToGrid w:val="0"/>
              <w:spacing w:line="240" w:lineRule="atLeast"/>
              <w:ind w:firstLine="187" w:firstLineChars="78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重伤10至49人；</w:t>
            </w:r>
          </w:p>
          <w:p>
            <w:pPr>
              <w:adjustRightInd w:val="0"/>
              <w:snapToGrid w:val="0"/>
              <w:spacing w:line="240" w:lineRule="atLeast"/>
              <w:ind w:firstLine="187" w:firstLineChars="78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直接经济损失1000万元至5000万元；</w:t>
            </w:r>
          </w:p>
          <w:p>
            <w:pPr>
              <w:adjustRightInd w:val="0"/>
              <w:snapToGrid w:val="0"/>
              <w:spacing w:line="240" w:lineRule="atLeast"/>
              <w:ind w:firstLine="187" w:firstLineChars="78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停气10万户及以上。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left="2"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省级</w:t>
            </w:r>
          </w:p>
        </w:tc>
        <w:tc>
          <w:tcPr>
            <w:tcW w:w="1187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left="2"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一般事故</w:t>
            </w:r>
          </w:p>
        </w:tc>
        <w:tc>
          <w:tcPr>
            <w:tcW w:w="5298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187" w:firstLineChars="78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死亡1至2人；</w:t>
            </w:r>
          </w:p>
          <w:p>
            <w:pPr>
              <w:adjustRightInd w:val="0"/>
              <w:snapToGrid w:val="0"/>
              <w:spacing w:line="240" w:lineRule="atLeast"/>
              <w:ind w:firstLine="187" w:firstLineChars="78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重伤1至9人；</w:t>
            </w:r>
          </w:p>
          <w:p>
            <w:pPr>
              <w:adjustRightInd w:val="0"/>
              <w:snapToGrid w:val="0"/>
              <w:spacing w:line="240" w:lineRule="atLeast"/>
              <w:ind w:firstLine="187" w:firstLineChars="78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直接经济损失100万元至1000万元；</w:t>
            </w:r>
          </w:p>
          <w:p>
            <w:pPr>
              <w:adjustRightInd w:val="0"/>
              <w:snapToGrid w:val="0"/>
              <w:spacing w:line="240" w:lineRule="atLeast"/>
              <w:ind w:firstLine="187" w:firstLineChars="78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停气1万户至10万户。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left="2"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市级</w:t>
            </w:r>
          </w:p>
        </w:tc>
        <w:tc>
          <w:tcPr>
            <w:tcW w:w="1187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left="2"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县级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公司重大事故</w:t>
            </w:r>
          </w:p>
        </w:tc>
        <w:tc>
          <w:tcPr>
            <w:tcW w:w="5298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187" w:firstLineChars="78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轻伤10人及以上；</w:t>
            </w:r>
          </w:p>
          <w:p>
            <w:pPr>
              <w:adjustRightInd w:val="0"/>
              <w:snapToGrid w:val="0"/>
              <w:spacing w:line="240" w:lineRule="atLeast"/>
              <w:ind w:firstLine="187" w:firstLineChars="78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直接经济损失50万元至100万元；</w:t>
            </w:r>
          </w:p>
          <w:p>
            <w:pPr>
              <w:adjustRightInd w:val="0"/>
              <w:snapToGrid w:val="0"/>
              <w:spacing w:line="240" w:lineRule="atLeast"/>
              <w:ind w:firstLine="187" w:firstLineChars="78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停气5千户至1万户；</w:t>
            </w:r>
          </w:p>
          <w:p>
            <w:pPr>
              <w:adjustRightInd w:val="0"/>
              <w:snapToGrid w:val="0"/>
              <w:spacing w:line="240" w:lineRule="atLeast"/>
              <w:ind w:firstLine="187" w:firstLineChars="78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站场或高、中压管道的燃烧、爆炸；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left="2"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县级</w:t>
            </w:r>
          </w:p>
        </w:tc>
        <w:tc>
          <w:tcPr>
            <w:tcW w:w="1187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left="2"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公司较大事故</w:t>
            </w:r>
          </w:p>
        </w:tc>
        <w:tc>
          <w:tcPr>
            <w:tcW w:w="5298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187" w:firstLineChars="78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轻伤6人至9人；</w:t>
            </w:r>
          </w:p>
          <w:p>
            <w:pPr>
              <w:adjustRightInd w:val="0"/>
              <w:snapToGrid w:val="0"/>
              <w:spacing w:line="240" w:lineRule="atLeast"/>
              <w:ind w:firstLine="187" w:firstLineChars="78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直接经济损失10万元至50万元；</w:t>
            </w:r>
          </w:p>
          <w:p>
            <w:pPr>
              <w:adjustRightInd w:val="0"/>
              <w:snapToGrid w:val="0"/>
              <w:spacing w:line="240" w:lineRule="atLeast"/>
              <w:ind w:firstLine="187" w:firstLineChars="78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停气1千户至5千户；</w:t>
            </w:r>
          </w:p>
          <w:p>
            <w:pPr>
              <w:adjustRightInd w:val="0"/>
              <w:snapToGrid w:val="0"/>
              <w:spacing w:line="240" w:lineRule="atLeast"/>
              <w:ind w:firstLine="187" w:firstLineChars="78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低压燃气管线的燃烧、爆炸；</w:t>
            </w:r>
          </w:p>
          <w:p>
            <w:pPr>
              <w:adjustRightInd w:val="0"/>
              <w:snapToGrid w:val="0"/>
              <w:spacing w:line="240" w:lineRule="atLeast"/>
              <w:ind w:firstLine="187" w:firstLineChars="78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站场或高、中压管线发生严重泄漏。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left="2"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经理</w:t>
            </w:r>
          </w:p>
        </w:tc>
        <w:tc>
          <w:tcPr>
            <w:tcW w:w="1187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left="2"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分管</w:t>
            </w:r>
          </w:p>
          <w:p>
            <w:pPr>
              <w:adjustRightInd w:val="0"/>
              <w:snapToGrid w:val="0"/>
              <w:spacing w:line="240" w:lineRule="atLeast"/>
              <w:ind w:left="2"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公司一般事故</w:t>
            </w:r>
          </w:p>
        </w:tc>
        <w:tc>
          <w:tcPr>
            <w:tcW w:w="5298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187" w:firstLineChars="78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轻伤3人至5人；</w:t>
            </w:r>
          </w:p>
          <w:p>
            <w:pPr>
              <w:adjustRightInd w:val="0"/>
              <w:snapToGrid w:val="0"/>
              <w:spacing w:line="240" w:lineRule="atLeast"/>
              <w:ind w:firstLine="187" w:firstLineChars="78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直接经济损失5万元至10万元；</w:t>
            </w:r>
          </w:p>
          <w:p>
            <w:pPr>
              <w:adjustRightInd w:val="0"/>
              <w:snapToGrid w:val="0"/>
              <w:spacing w:line="240" w:lineRule="atLeast"/>
              <w:ind w:firstLine="187" w:firstLineChars="78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停气500户至1千户；</w:t>
            </w:r>
          </w:p>
          <w:p>
            <w:pPr>
              <w:adjustRightInd w:val="0"/>
              <w:snapToGrid w:val="0"/>
              <w:spacing w:line="240" w:lineRule="atLeast"/>
              <w:ind w:firstLine="187" w:firstLineChars="78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燃气管线或设施发生泄漏。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left="2"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分管</w:t>
            </w:r>
          </w:p>
          <w:p>
            <w:pPr>
              <w:adjustRightInd w:val="0"/>
              <w:snapToGrid w:val="0"/>
              <w:spacing w:line="240" w:lineRule="atLeast"/>
              <w:ind w:left="2"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经理</w:t>
            </w:r>
          </w:p>
        </w:tc>
        <w:tc>
          <w:tcPr>
            <w:tcW w:w="1187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left="2"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部门</w:t>
            </w:r>
          </w:p>
          <w:p>
            <w:pPr>
              <w:adjustRightInd w:val="0"/>
              <w:snapToGrid w:val="0"/>
              <w:spacing w:line="240" w:lineRule="atLeast"/>
              <w:ind w:left="2"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公司轻微事故</w:t>
            </w:r>
          </w:p>
        </w:tc>
        <w:tc>
          <w:tcPr>
            <w:tcW w:w="5298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187" w:firstLineChars="78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轻伤2人及以下；</w:t>
            </w:r>
          </w:p>
          <w:p>
            <w:pPr>
              <w:adjustRightInd w:val="0"/>
              <w:snapToGrid w:val="0"/>
              <w:spacing w:line="240" w:lineRule="atLeast"/>
              <w:ind w:firstLine="187" w:firstLineChars="78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事故直接经济损失5万元及以下。</w:t>
            </w:r>
          </w:p>
          <w:p>
            <w:pPr>
              <w:adjustRightInd w:val="0"/>
              <w:snapToGrid w:val="0"/>
              <w:spacing w:line="240" w:lineRule="atLeast"/>
              <w:ind w:firstLine="187" w:firstLineChars="78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停气500户以下。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left="2"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部门</w:t>
            </w:r>
          </w:p>
          <w:p>
            <w:pPr>
              <w:adjustRightInd w:val="0"/>
              <w:snapToGrid w:val="0"/>
              <w:spacing w:line="240" w:lineRule="atLeast"/>
              <w:ind w:left="2"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负责人</w:t>
            </w:r>
          </w:p>
        </w:tc>
        <w:tc>
          <w:tcPr>
            <w:tcW w:w="1187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left="2"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部门</w:t>
            </w:r>
          </w:p>
          <w:p>
            <w:pPr>
              <w:adjustRightInd w:val="0"/>
              <w:snapToGrid w:val="0"/>
              <w:spacing w:line="240" w:lineRule="atLeast"/>
              <w:ind w:left="2" w:firstLine="0"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负责人</w:t>
            </w:r>
          </w:p>
        </w:tc>
      </w:tr>
    </w:tbl>
    <w:p>
      <w:pPr>
        <w:ind w:firstLine="504"/>
        <w:rPr>
          <w:szCs w:val="28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注：划分依据为所列之一；停气指连续停供24小时以上。</w:t>
      </w:r>
    </w:p>
    <w:p>
      <w:pPr>
        <w:pStyle w:val="3"/>
        <w:rPr>
          <w:kern w:val="0"/>
          <w:shd w:val="clear" w:color="auto" w:fill="FFFFFF"/>
        </w:rPr>
      </w:pPr>
      <w:bookmarkStart w:id="4" w:name="_Toc426042505"/>
      <w:bookmarkStart w:id="5" w:name="_Toc426304359"/>
      <w:bookmarkStart w:id="6" w:name="_Toc4647"/>
      <w:r>
        <w:rPr>
          <w:rFonts w:hint="eastAsia"/>
          <w:kern w:val="0"/>
          <w:shd w:val="clear" w:color="auto" w:fill="FFFFFF"/>
        </w:rPr>
        <w:t xml:space="preserve">2 </w:t>
      </w:r>
      <w:r>
        <w:rPr>
          <w:kern w:val="0"/>
          <w:shd w:val="clear" w:color="auto" w:fill="FFFFFF"/>
        </w:rPr>
        <w:t>事故</w:t>
      </w:r>
      <w:r>
        <w:rPr>
          <w:rFonts w:hint="eastAsia"/>
          <w:kern w:val="0"/>
          <w:shd w:val="clear" w:color="auto" w:fill="FFFFFF"/>
        </w:rPr>
        <w:t>管理程序</w:t>
      </w:r>
      <w:bookmarkEnd w:id="4"/>
      <w:bookmarkEnd w:id="5"/>
      <w:bookmarkEnd w:id="6"/>
    </w:p>
    <w:p>
      <w:pPr>
        <w:ind w:firstLine="584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2.1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事故紧急处理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。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事故发生时，当事人和现场人员应认真做好报告、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防止事故扩大、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抢救和保护现场等事项，事故有预案的按预案操作。</w:t>
      </w:r>
    </w:p>
    <w:p>
      <w:pPr>
        <w:ind w:firstLine="584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2.2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一旦发生事故，当事人及现场人员要立即向事故发生部门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负责人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、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安全管理机构</w:t>
      </w:r>
      <w:r>
        <w:rPr>
          <w:rFonts w:hint="eastAsia" w:ascii="宋体" w:hAnsi="宋体" w:cs="宋体"/>
          <w:kern w:val="0"/>
          <w:szCs w:val="21"/>
          <w:shd w:val="clear" w:color="auto" w:fill="FFFFFF"/>
        </w:rPr>
        <w:t>负责人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或有关领导报告（发生火灾应先报火警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，发生人员伤亡应先报120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）；同时立即设法控制事故蔓延和抢救伤员。</w:t>
      </w:r>
      <w:r>
        <w:rPr>
          <w:rFonts w:ascii="宋体" w:hAnsi="宋体" w:cs="宋体"/>
          <w:kern w:val="0"/>
          <w:szCs w:val="28"/>
        </w:rPr>
        <w:t>职工发生伤亡事故，负伤人员或者最先发现事故的人员，应立即报告事故所在的</w:t>
      </w:r>
      <w:r>
        <w:rPr>
          <w:rFonts w:hint="eastAsia" w:ascii="宋体" w:hAnsi="宋体" w:cs="宋体"/>
          <w:kern w:val="0"/>
          <w:szCs w:val="28"/>
        </w:rPr>
        <w:t>部门</w:t>
      </w:r>
      <w:r>
        <w:rPr>
          <w:rFonts w:ascii="宋体" w:hAnsi="宋体" w:cs="宋体"/>
          <w:kern w:val="0"/>
          <w:szCs w:val="28"/>
        </w:rPr>
        <w:t>的领导。</w:t>
      </w:r>
    </w:p>
    <w:p>
      <w:pPr>
        <w:ind w:firstLine="584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2.3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现场保护：事故发生后，要立即封锁保护现场，除抢救需要外，禁止无关人员入内，防止人为或自然因素破坏现场。因抢救及防止事故扩大，必须移动现场物件的，要做出标志，绘制现场简图并写出书面记录。有条件的要进行现场录像、拍照。未经公司</w:t>
      </w:r>
      <w:r>
        <w:rPr>
          <w:rFonts w:ascii="宋体" w:hAnsi="宋体" w:cs="宋体"/>
          <w:kern w:val="0"/>
          <w:szCs w:val="21"/>
          <w:shd w:val="clear" w:color="auto" w:fill="FFFFFF"/>
        </w:rPr>
        <w:t>安全管理</w:t>
      </w:r>
      <w:r>
        <w:rPr>
          <w:rFonts w:hint="eastAsia" w:ascii="宋体" w:hAnsi="宋体" w:cs="宋体"/>
          <w:kern w:val="0"/>
          <w:szCs w:val="21"/>
          <w:shd w:val="clear" w:color="auto" w:fill="FFFFFF"/>
        </w:rPr>
        <w:t>机构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或事故调查组现场勘察同意，不得借口任何理由擅自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移动或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清理现场，造成真相被掩盖。死亡事故现场需经当地劳动、公安部门同意才能清理。</w:t>
      </w:r>
    </w:p>
    <w:p>
      <w:pPr>
        <w:ind w:firstLine="584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2.4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有关领导及部门接到报告后，要立即组织抢救；重大事故要迅速组成临时抢救领导小组，统一指挥。并视情况逐级或直接向上级部门领导报告。</w:t>
      </w:r>
    </w:p>
    <w:p>
      <w:pPr>
        <w:ind w:firstLine="584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2.5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事故报告</w:t>
      </w:r>
    </w:p>
    <w:p>
      <w:pPr>
        <w:ind w:firstLine="584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2.5.1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公司相关领导报告时限</w:t>
      </w:r>
    </w:p>
    <w:p>
      <w:pPr>
        <w:ind w:firstLine="584"/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凡发生重伤、死亡、重大事故时，必须在事故发生24小时内将事故的概况，包括发生事故的单位、时间、地点、伤者姓名、年龄、工种、伤害程度、初步原因分析、经济损失等，用快速的办法报主管部门，同时按国务院75号令《企业职工伤亡事故报告和处理规定》第二章规定报有关部门。</w:t>
      </w:r>
    </w:p>
    <w:p>
      <w:pPr>
        <w:spacing w:afterLines="20"/>
        <w:ind w:firstLine="584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公司级事故中“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报告程序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”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中的纵向报告视情况及时进行；横向报告包括事故发生报告和事故处理过程报告，时限见下表：</w:t>
      </w:r>
    </w:p>
    <w:tbl>
      <w:tblPr>
        <w:tblStyle w:val="5"/>
        <w:tblW w:w="9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1878"/>
        <w:gridCol w:w="2250"/>
        <w:gridCol w:w="2330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2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shd w:val="clear" w:color="auto" w:fill="FFFFFF"/>
              </w:rPr>
              <w:t>事故状况</w:t>
            </w:r>
          </w:p>
        </w:tc>
        <w:tc>
          <w:tcPr>
            <w:tcW w:w="2250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shd w:val="clear" w:color="auto" w:fill="FFFFFF"/>
              </w:rPr>
              <w:t>现场报部门负责人</w:t>
            </w:r>
          </w:p>
        </w:tc>
        <w:tc>
          <w:tcPr>
            <w:tcW w:w="2330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shd w:val="clear" w:color="auto" w:fill="FFFFFF"/>
              </w:rPr>
              <w:t>现场报公司负责人</w:t>
            </w:r>
          </w:p>
        </w:tc>
        <w:tc>
          <w:tcPr>
            <w:tcW w:w="1763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shd w:val="clear" w:color="auto" w:fill="FFFFFF"/>
              </w:rPr>
              <w:t>公司报上级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2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shd w:val="clear" w:color="auto" w:fill="FFFFFF"/>
              </w:rPr>
              <w:t>公司重大级以下</w:t>
            </w:r>
          </w:p>
        </w:tc>
        <w:tc>
          <w:tcPr>
            <w:tcW w:w="2250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shd w:val="clear" w:color="auto" w:fill="FFFFFF"/>
              </w:rPr>
              <w:t>立即</w:t>
            </w:r>
          </w:p>
        </w:tc>
        <w:tc>
          <w:tcPr>
            <w:tcW w:w="2330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  <w:shd w:val="clear" w:color="auto" w:fill="FFFFFF"/>
              </w:rPr>
              <w:t>1小时内</w:t>
            </w:r>
          </w:p>
        </w:tc>
        <w:tc>
          <w:tcPr>
            <w:tcW w:w="1763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shd w:val="clear" w:color="auto" w:fill="FFFFFF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2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shd w:val="clear" w:color="auto" w:fill="FFFFFF"/>
              </w:rPr>
              <w:t>公司重大级以上</w:t>
            </w:r>
          </w:p>
        </w:tc>
        <w:tc>
          <w:tcPr>
            <w:tcW w:w="2250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shd w:val="clear" w:color="auto" w:fill="FFFFFF"/>
              </w:rPr>
              <w:t>立即</w:t>
            </w:r>
          </w:p>
        </w:tc>
        <w:tc>
          <w:tcPr>
            <w:tcW w:w="2330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shd w:val="clear" w:color="auto" w:fill="FFFFFF"/>
              </w:rPr>
              <w:t>立即</w:t>
            </w:r>
          </w:p>
        </w:tc>
        <w:tc>
          <w:tcPr>
            <w:tcW w:w="1763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  <w:shd w:val="clear" w:color="auto" w:fill="FFFFFF"/>
              </w:rPr>
              <w:t>1小时内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2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shd w:val="clear" w:color="auto" w:fill="FFFFFF"/>
              </w:rPr>
              <w:t>特别紧急状况</w:t>
            </w:r>
          </w:p>
        </w:tc>
        <w:tc>
          <w:tcPr>
            <w:tcW w:w="2250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shd w:val="clear" w:color="auto" w:fill="FFFFFF"/>
              </w:rPr>
              <w:t>立即</w:t>
            </w:r>
          </w:p>
        </w:tc>
        <w:tc>
          <w:tcPr>
            <w:tcW w:w="2330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shd w:val="clear" w:color="auto" w:fill="FFFFFF"/>
              </w:rPr>
              <w:t>立即</w:t>
            </w:r>
          </w:p>
        </w:tc>
        <w:tc>
          <w:tcPr>
            <w:tcW w:w="1763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shd w:val="clear" w:color="auto" w:fill="FFFFFF"/>
              </w:rPr>
              <w:t>立即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vMerge w:val="restart"/>
            <w:vAlign w:val="center"/>
          </w:tcPr>
          <w:p>
            <w:pPr>
              <w:snapToGrid w:val="0"/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shd w:val="clear" w:color="auto" w:fill="FFFFFF"/>
              </w:rPr>
              <w:t>事故报告后出现</w:t>
            </w:r>
            <w:r>
              <w:rPr>
                <w:rFonts w:hint="eastAsia"/>
                <w:sz w:val="24"/>
                <w:szCs w:val="34"/>
              </w:rPr>
              <w:t>伤亡人数发生变化</w:t>
            </w:r>
          </w:p>
        </w:tc>
        <w:tc>
          <w:tcPr>
            <w:tcW w:w="187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shd w:val="clear" w:color="auto" w:fill="FFFFFF"/>
              </w:rPr>
              <w:t>道路交通、火灾</w:t>
            </w:r>
          </w:p>
        </w:tc>
        <w:tc>
          <w:tcPr>
            <w:tcW w:w="2250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shd w:val="clear" w:color="auto" w:fill="FFFFFF"/>
              </w:rPr>
              <w:t>发生后及时</w:t>
            </w:r>
          </w:p>
        </w:tc>
        <w:tc>
          <w:tcPr>
            <w:tcW w:w="2330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shd w:val="clear" w:color="auto" w:fill="FFFFFF"/>
              </w:rPr>
              <w:t>发生6小时内</w:t>
            </w:r>
          </w:p>
        </w:tc>
        <w:tc>
          <w:tcPr>
            <w:tcW w:w="1763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shd w:val="clear" w:color="auto" w:fill="FFFFFF"/>
              </w:rPr>
              <w:t>事故后1天内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87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shd w:val="clear" w:color="auto" w:fill="FFFFFF"/>
              </w:rPr>
              <w:t>其他事故</w:t>
            </w:r>
          </w:p>
        </w:tc>
        <w:tc>
          <w:tcPr>
            <w:tcW w:w="2250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shd w:val="clear" w:color="auto" w:fill="FFFFFF"/>
              </w:rPr>
              <w:t>发生后及时</w:t>
            </w:r>
          </w:p>
        </w:tc>
        <w:tc>
          <w:tcPr>
            <w:tcW w:w="2330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shd w:val="clear" w:color="auto" w:fill="FFFFFF"/>
              </w:rPr>
              <w:t>发生12小时内</w:t>
            </w:r>
          </w:p>
        </w:tc>
        <w:tc>
          <w:tcPr>
            <w:tcW w:w="1763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shd w:val="clear" w:color="auto" w:fill="FFFFFF"/>
              </w:rPr>
              <w:t>事故后2天内</w:t>
            </w:r>
          </w:p>
        </w:tc>
      </w:tr>
    </w:tbl>
    <w:p>
      <w:pPr>
        <w:snapToGrid w:val="0"/>
        <w:spacing w:line="240" w:lineRule="atLeast"/>
        <w:ind w:firstLine="584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</w:p>
    <w:p>
      <w:pPr>
        <w:ind w:firstLine="584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2.5.2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需要向地方政府部门报告的，按国家有关规定报告。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公司级事故由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《事故类别划分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表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》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中“处理机构”所列负责人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组织报告，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公司级以上事故均由</w:t>
      </w:r>
      <w:r>
        <w:rPr>
          <w:rFonts w:hint="eastAsia" w:ascii="宋体" w:hAnsi="宋体" w:cs="宋体"/>
          <w:kern w:val="0"/>
          <w:szCs w:val="21"/>
          <w:shd w:val="clear" w:color="auto" w:fill="FFFFFF"/>
        </w:rPr>
        <w:t>公司经理（特殊情况授权公司安全管理机构负责人）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组织报告。</w:t>
      </w:r>
    </w:p>
    <w:p>
      <w:pPr>
        <w:ind w:firstLine="584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2.6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事故调查</w:t>
      </w:r>
    </w:p>
    <w:p>
      <w:pPr>
        <w:ind w:firstLine="584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2.6.1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生产事故由生产部门牵头组织调查，设备事故由设备部门（或技术部门）牵头组织，交通事故由车辆管理部门牵头组织，火灾、人员伤亡及其他事故由安管部门牵头组织。</w:t>
      </w:r>
    </w:p>
    <w:p>
      <w:pPr>
        <w:ind w:firstLine="584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2.6.2公司级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事故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由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《事故类别划分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表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》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中“处理机构”所列负责人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组织调查，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“上报机构”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视情况派员参与；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公司级以上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事故由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相关级别政府职能机构依法组织调查，并由其指定的公司管理者配合调查，公司内相关责任者应主动配合调查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。</w:t>
      </w:r>
    </w:p>
    <w:p>
      <w:pPr>
        <w:ind w:firstLine="584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2.6.3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事故调查组及调查人员在事故调查中，有权向事故发生单位有关部门、人员了解相关情况和索取有关资料，各部门及人员不得拒绝。</w:t>
      </w:r>
    </w:p>
    <w:p>
      <w:pPr>
        <w:ind w:firstLine="584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2.6.4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调查组职责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：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负责搜集有关资料，证明材料（包括物证、人证材料、现场拍照、事故图示等），查明事故发生的过程、性质、原因、人员伤亡及经济损失情况；分析事故责任，确定责任者，并确定主要责任者；提出事故处理意见和防范建议；编写事故调查报告，报告内容包括：事故经过、基本事实、原因分析、责任分析、结论、处理意见、改进措施及其它相关附件材料。</w:t>
      </w:r>
    </w:p>
    <w:p>
      <w:pPr>
        <w:ind w:firstLine="584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2.6.5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调查报告须经全体调查组人员签名，并提交事故单位、上级主管部门和主管领导。</w:t>
      </w:r>
    </w:p>
    <w:p>
      <w:pPr>
        <w:ind w:firstLine="584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2.7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责任追究</w:t>
      </w:r>
    </w:p>
    <w:p>
      <w:pPr>
        <w:ind w:firstLine="584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2.7.1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下列情况造成的事故，首先追究领导者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（负责人）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的责任。</w:t>
      </w:r>
    </w:p>
    <w:p>
      <w:pPr>
        <w:ind w:firstLine="584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（1）公司发布的决定、命令、制度，违反相关的法律法规、规程或标准，或违反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公司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相关规定。</w:t>
      </w:r>
    </w:p>
    <w:p>
      <w:pPr>
        <w:ind w:firstLine="584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（2）制度不健全，缺乏安全操作规程，管理混乱。</w:t>
      </w:r>
    </w:p>
    <w:p>
      <w:pPr>
        <w:ind w:firstLine="584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（3）未经考试合格上岗操作，因员工缺乏安全知识发生的事故。</w:t>
      </w:r>
    </w:p>
    <w:p>
      <w:pPr>
        <w:ind w:firstLine="584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（4）设备有缺陷，不按规定检修，带病运行。</w:t>
      </w:r>
    </w:p>
    <w:p>
      <w:pPr>
        <w:ind w:firstLine="584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（5）作业环境不安全，安全装置不齐全又不采取保护、防范措施，包括信号、标志、用具及个体防护用品缺乏或缺陷。</w:t>
      </w:r>
    </w:p>
    <w:p>
      <w:pPr>
        <w:ind w:firstLine="584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（6）施工中违反设计规定、削减安全设施。</w:t>
      </w:r>
    </w:p>
    <w:p>
      <w:pPr>
        <w:ind w:firstLine="584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（7）建设项目未经竣工验收，擅自投产使用。</w:t>
      </w:r>
    </w:p>
    <w:p>
      <w:pPr>
        <w:ind w:firstLine="584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（8）已列入安全技术措施项目不按期实施，又不采取应急措施。</w:t>
      </w:r>
    </w:p>
    <w:p>
      <w:pPr>
        <w:ind w:firstLine="584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（9）发生事故后未积极汲取教训，致使同类事故重复发生。</w:t>
      </w:r>
    </w:p>
    <w:p>
      <w:pPr>
        <w:ind w:firstLine="584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（10）新建、改建、扩建工程和技术改造项目中安全卫生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“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三同时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”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不落实。</w:t>
      </w:r>
    </w:p>
    <w:p>
      <w:pPr>
        <w:ind w:firstLine="584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2.7.2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下列情况造成事故，追究当事者责任。</w:t>
      </w:r>
    </w:p>
    <w:p>
      <w:pPr>
        <w:ind w:firstLine="584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（1）违章指挥、违章作业、冒险作业，机动车违章驾驶。</w:t>
      </w:r>
    </w:p>
    <w:p>
      <w:pPr>
        <w:ind w:firstLine="584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（2）玩忽职守、违反操作规程及有关安全制度、违反劳动纪律。</w:t>
      </w:r>
    </w:p>
    <w:p>
      <w:pPr>
        <w:ind w:firstLine="584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（3）发现事故隐患、险情不立即报告，不积极采取有效措施。</w:t>
      </w:r>
    </w:p>
    <w:p>
      <w:pPr>
        <w:ind w:firstLine="584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（4）不按规定配备和使用劳动防护用品及工具。</w:t>
      </w:r>
    </w:p>
    <w:p>
      <w:pPr>
        <w:ind w:firstLine="584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（5）擅自开动机器设备，擅自更改、拆除、毁坏、挪用安全装置和设施。</w:t>
      </w:r>
    </w:p>
    <w:p>
      <w:pPr>
        <w:ind w:firstLine="584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（6）其它违反安全管理规定的行为。</w:t>
      </w:r>
    </w:p>
    <w:p>
      <w:pPr>
        <w:ind w:firstLine="584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2.7.3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对事故责任者</w:t>
      </w:r>
      <w:r>
        <w:rPr>
          <w:rFonts w:ascii="宋体" w:hAnsi="宋体" w:cs="宋体"/>
          <w:color w:val="000000"/>
          <w:kern w:val="0"/>
          <w:szCs w:val="28"/>
          <w:shd w:val="clear" w:color="auto" w:fill="FFFFFF"/>
        </w:rPr>
        <w:t>的追究</w:t>
      </w:r>
      <w:r>
        <w:rPr>
          <w:rFonts w:hint="eastAsia" w:ascii="宋体" w:hAnsi="宋体" w:cs="宋体"/>
          <w:color w:val="000000"/>
          <w:kern w:val="0"/>
          <w:szCs w:val="28"/>
          <w:shd w:val="clear" w:color="auto" w:fill="FFFFFF"/>
        </w:rPr>
        <w:t>根据事故调查组提出的主要和相关责任人的处理意见，上报上级机构批准后，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按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法律法规规定和公司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处理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意见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追究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。</w:t>
      </w:r>
    </w:p>
    <w:p>
      <w:pPr>
        <w:pStyle w:val="3"/>
        <w:rPr>
          <w:kern w:val="0"/>
          <w:shd w:val="clear" w:color="auto" w:fill="FFFFFF"/>
        </w:rPr>
      </w:pPr>
      <w:bookmarkStart w:id="7" w:name="_Toc426304360"/>
      <w:bookmarkStart w:id="8" w:name="_Toc426042506"/>
      <w:bookmarkStart w:id="9" w:name="_Toc8296"/>
      <w:r>
        <w:rPr>
          <w:rFonts w:hint="eastAsia"/>
          <w:kern w:val="0"/>
          <w:shd w:val="clear" w:color="auto" w:fill="FFFFFF"/>
        </w:rPr>
        <w:t xml:space="preserve">3 </w:t>
      </w:r>
      <w:r>
        <w:rPr>
          <w:kern w:val="0"/>
          <w:shd w:val="clear" w:color="auto" w:fill="FFFFFF"/>
        </w:rPr>
        <w:t>事故分析及报告</w:t>
      </w:r>
      <w:bookmarkEnd w:id="7"/>
      <w:bookmarkEnd w:id="8"/>
      <w:bookmarkEnd w:id="9"/>
    </w:p>
    <w:p>
      <w:pPr>
        <w:ind w:firstLine="584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3.1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建立专门事故台帐，事故登记要在接报当天进行。登记基本内容包括：事故单位、时间、地点、大致情况、报告人、报告时间、登记人等。</w:t>
      </w:r>
    </w:p>
    <w:p>
      <w:pPr>
        <w:ind w:firstLine="584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3.2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每月末，安全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科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负责进行事故统计并上报。</w:t>
      </w:r>
    </w:p>
    <w:p>
      <w:pPr>
        <w:ind w:firstLine="584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3.3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公司每年分年中、年末两次对本单位事故分别进行统计分析，编写分析报告。</w:t>
      </w:r>
    </w:p>
    <w:p>
      <w:pPr>
        <w:pStyle w:val="3"/>
        <w:rPr>
          <w:kern w:val="0"/>
          <w:shd w:val="clear" w:color="auto" w:fill="FFFFFF"/>
        </w:rPr>
      </w:pPr>
      <w:bookmarkStart w:id="10" w:name="_Toc426304361"/>
      <w:bookmarkStart w:id="11" w:name="_Toc426042507"/>
      <w:bookmarkStart w:id="12" w:name="_Toc31209"/>
      <w:r>
        <w:rPr>
          <w:rFonts w:hint="eastAsia"/>
          <w:kern w:val="0"/>
          <w:shd w:val="clear" w:color="auto" w:fill="FFFFFF"/>
        </w:rPr>
        <w:t xml:space="preserve">4 </w:t>
      </w:r>
      <w:r>
        <w:rPr>
          <w:kern w:val="0"/>
          <w:shd w:val="clear" w:color="auto" w:fill="FFFFFF"/>
        </w:rPr>
        <w:t>事故档案与案例</w:t>
      </w:r>
      <w:bookmarkEnd w:id="10"/>
      <w:bookmarkEnd w:id="11"/>
      <w:bookmarkEnd w:id="12"/>
    </w:p>
    <w:p>
      <w:pPr>
        <w:ind w:firstLine="584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4.1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所有发生事故，必须建立事故档案并编制案例。事故档案及案例按事故管理权限由安全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科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整理，在事故结案一个月内进行安全教育，并报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公司安全生产监督机构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审查归档（事故单位留有复印件）。</w:t>
      </w:r>
    </w:p>
    <w:p>
      <w:pPr>
        <w:ind w:firstLine="584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4.2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事故档案包括：</w:t>
      </w:r>
    </w:p>
    <w:p>
      <w:pPr>
        <w:ind w:firstLine="584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4.2.1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事故登记表。（人员伤亡事故按《伤亡事故登记表》填报，其他事故按《事故报告单》填报）</w:t>
      </w:r>
    </w:p>
    <w:p>
      <w:pPr>
        <w:ind w:firstLine="584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4.2.2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现场调查记录，图纸照片，物证、人证及事故责任者自述材料。</w:t>
      </w:r>
    </w:p>
    <w:p>
      <w:pPr>
        <w:ind w:firstLine="584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4.2.3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技术鉴定和试验报告，医疗部门对伤亡人员的诊断书。</w:t>
      </w:r>
    </w:p>
    <w:p>
      <w:pPr>
        <w:ind w:firstLine="584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4.2.4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发生事故时的工艺条件，操作情况及设计资料。</w:t>
      </w:r>
    </w:p>
    <w:p>
      <w:pPr>
        <w:ind w:firstLine="584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4.2.5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直接和间接经济损失材料。</w:t>
      </w:r>
    </w:p>
    <w:p>
      <w:pPr>
        <w:ind w:firstLine="584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4.2.6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参加调查组的人员姓名、职务、单位材料。</w:t>
      </w:r>
    </w:p>
    <w:p>
      <w:pPr>
        <w:ind w:firstLine="584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4.2.7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事故调查报告。</w:t>
      </w:r>
    </w:p>
    <w:p>
      <w:pPr>
        <w:ind w:firstLine="584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4.2.8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处分决定和受处分人员的检查材料，事故通报、简报及文件。</w:t>
      </w:r>
    </w:p>
    <w:p>
      <w:pPr>
        <w:pStyle w:val="3"/>
        <w:rPr>
          <w:kern w:val="0"/>
          <w:shd w:val="clear" w:color="auto" w:fill="FFFFFF"/>
        </w:rPr>
      </w:pPr>
      <w:bookmarkStart w:id="13" w:name="_Toc426304362"/>
      <w:bookmarkStart w:id="14" w:name="_Toc2060"/>
      <w:bookmarkStart w:id="15" w:name="_Toc426042508"/>
      <w:r>
        <w:rPr>
          <w:rFonts w:hint="eastAsia"/>
          <w:kern w:val="0"/>
          <w:shd w:val="clear" w:color="auto" w:fill="FFFFFF"/>
        </w:rPr>
        <w:t xml:space="preserve">5 </w:t>
      </w:r>
      <w:r>
        <w:rPr>
          <w:kern w:val="0"/>
          <w:shd w:val="clear" w:color="auto" w:fill="FFFFFF"/>
        </w:rPr>
        <w:t>事故善后工作</w:t>
      </w:r>
      <w:bookmarkEnd w:id="13"/>
      <w:bookmarkEnd w:id="14"/>
      <w:bookmarkEnd w:id="15"/>
    </w:p>
    <w:p>
      <w:pPr>
        <w:ind w:firstLine="584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5.1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工伤认定及保险理赔：工伤认定及保险由公司配合当地劳动部门或相关部门进行；需公司支付的，由上一级安管部门认定；劳动能力鉴定及伤残鉴定由公司报当地劳动部门或有关部门进行。</w:t>
      </w:r>
    </w:p>
    <w:p>
      <w:pPr>
        <w:ind w:firstLine="584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5.2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对于事故造成影响的，包括非责任事故，要正面利用媒体，积极消除负面影响，降低各类风险。</w:t>
      </w:r>
    </w:p>
    <w:p>
      <w:pPr>
        <w:pStyle w:val="3"/>
        <w:rPr>
          <w:kern w:val="0"/>
          <w:shd w:val="clear" w:color="auto" w:fill="FFFFFF"/>
        </w:rPr>
      </w:pPr>
      <w:bookmarkStart w:id="16" w:name="_Toc22367"/>
      <w:bookmarkStart w:id="17" w:name="_Toc426042509"/>
      <w:bookmarkStart w:id="18" w:name="_Toc426304363"/>
      <w:r>
        <w:rPr>
          <w:rFonts w:hint="eastAsia"/>
          <w:kern w:val="0"/>
          <w:shd w:val="clear" w:color="auto" w:fill="FFFFFF"/>
        </w:rPr>
        <w:t xml:space="preserve">6 </w:t>
      </w:r>
      <w:r>
        <w:rPr>
          <w:kern w:val="0"/>
          <w:shd w:val="clear" w:color="auto" w:fill="FFFFFF"/>
        </w:rPr>
        <w:t>罚则</w:t>
      </w:r>
      <w:bookmarkEnd w:id="16"/>
      <w:bookmarkEnd w:id="17"/>
      <w:bookmarkEnd w:id="18"/>
    </w:p>
    <w:p>
      <w:pPr>
        <w:ind w:firstLine="584"/>
        <w:rPr>
          <w:rFonts w:ascii="宋体" w:hAnsi="宋体" w:cs="宋体"/>
          <w:color w:val="auto"/>
          <w:kern w:val="0"/>
          <w:szCs w:val="21"/>
          <w:shd w:val="clear" w:color="auto" w:fill="FFFFFF"/>
        </w:rPr>
      </w:pPr>
      <w:r>
        <w:rPr>
          <w:rFonts w:ascii="宋体" w:hAnsi="宋体" w:cs="宋体"/>
          <w:color w:val="auto"/>
          <w:kern w:val="0"/>
          <w:szCs w:val="21"/>
          <w:shd w:val="clear" w:color="auto" w:fill="FFFFFF"/>
        </w:rPr>
        <w:t>对以下情形视情节给予扣发奖金及警告、记过、降级、撤职、留用察看、辞退等处罚。</w:t>
      </w:r>
    </w:p>
    <w:p>
      <w:pPr>
        <w:ind w:firstLine="584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auto"/>
          <w:kern w:val="0"/>
          <w:szCs w:val="21"/>
          <w:shd w:val="clear" w:color="auto" w:fill="FFFFFF"/>
        </w:rPr>
        <w:t>6.1</w:t>
      </w:r>
      <w:r>
        <w:rPr>
          <w:rFonts w:ascii="宋体" w:hAnsi="宋体" w:cs="宋体"/>
          <w:color w:val="auto"/>
          <w:kern w:val="0"/>
          <w:szCs w:val="21"/>
          <w:shd w:val="clear" w:color="auto" w:fill="FFFFFF"/>
        </w:rPr>
        <w:t>隐瞒事故不报、谎报、故意迟报或故意破坏事故现场的。未按规定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 xml:space="preserve">时间报告，超期10天以上（含）的按隐瞒不报处理，从重处罚。 </w:t>
      </w:r>
    </w:p>
    <w:p>
      <w:pPr>
        <w:ind w:firstLine="584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6.2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事故发生后，不负责任、不积极组织抢救或抢救不力造成更大伤亡、损失的。</w:t>
      </w:r>
    </w:p>
    <w:p>
      <w:pPr>
        <w:ind w:firstLine="584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6.3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事故处理未做到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“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四不放过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”（</w:t>
      </w:r>
      <w:r>
        <w:rPr>
          <w:rFonts w:ascii="宋体" w:hAnsi="宋体"/>
          <w:szCs w:val="28"/>
        </w:rPr>
        <w:t>事故原因未查清不放过；事故责任人未受到处理不放过；事故责任人和周围群众没有受到教育不放过；事故指定的切实可行的整改措施未落实不放过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）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的。</w:t>
      </w:r>
    </w:p>
    <w:p>
      <w:pPr>
        <w:ind w:firstLine="584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6.4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无正当理由拒绝接受、配合事故调查或提供伪证的。</w:t>
      </w:r>
    </w:p>
    <w:p>
      <w:pPr>
        <w:ind w:firstLine="584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6.5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在调查、处理中玩忽职守，徇私舞弊，擅自处理或包庇事故责任者或打击报复的。</w:t>
      </w:r>
    </w:p>
    <w:p>
      <w:pPr>
        <w:pStyle w:val="3"/>
        <w:rPr>
          <w:kern w:val="0"/>
          <w:shd w:val="clear" w:color="auto" w:fill="FFFFFF"/>
        </w:rPr>
      </w:pPr>
      <w:bookmarkStart w:id="19" w:name="_Toc426304364"/>
      <w:bookmarkStart w:id="20" w:name="_Toc24353"/>
      <w:bookmarkStart w:id="21" w:name="_Toc426042510"/>
      <w:r>
        <w:rPr>
          <w:rFonts w:hint="eastAsia"/>
          <w:kern w:val="0"/>
          <w:shd w:val="clear" w:color="auto" w:fill="FFFFFF"/>
        </w:rPr>
        <w:t>7 相关记录</w:t>
      </w:r>
      <w:bookmarkEnd w:id="19"/>
      <w:bookmarkEnd w:id="20"/>
      <w:bookmarkEnd w:id="21"/>
    </w:p>
    <w:p>
      <w:pPr>
        <w:ind w:firstLine="584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《事故报告单》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；</w:t>
      </w:r>
    </w:p>
    <w:p>
      <w:pPr>
        <w:ind w:firstLine="584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《事故等级划分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表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》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；</w:t>
      </w:r>
    </w:p>
    <w:p>
      <w:pPr>
        <w:ind w:firstLine="584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 xml:space="preserve">《伤亡事故登记表》 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；</w:t>
      </w:r>
    </w:p>
    <w:p>
      <w:pPr>
        <w:ind w:firstLine="584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《事故报表》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ZDdkNjFkODYyNTg2ZmQwNjYyZDc2N2U2NmNlMjkifQ=="/>
  </w:docVars>
  <w:rsids>
    <w:rsidRoot w:val="00000000"/>
    <w:rsid w:val="3E1B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40" w:after="240"/>
      <w:ind w:firstLine="0" w:firstLineChars="0"/>
      <w:jc w:val="center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2024-04-17T00:55:23Z</dcterms:created>
  <dc:creator>Dell</dc:creator>
  <cp:lastModifiedBy>Dell</cp:lastModifiedBy>
  <dcterms:modified xsi:type="dcterms:W3CDTF">2024-04-17T00:55:48Z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7E909CDCD2154B55A84F7E8ECD675E6D_12</vt:lpwstr>
  </property>
</Properties>
</file>