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重大危险源管理制度</w:t>
      </w:r>
    </w:p>
    <w:p>
      <w:pPr>
        <w:spacing w:line="480" w:lineRule="auto"/>
        <w:jc w:val="center"/>
        <w:rPr>
          <w:rFonts w:hint="eastAsia"/>
          <w:b/>
          <w:bCs/>
          <w:sz w:val="40"/>
          <w:szCs w:val="48"/>
        </w:rPr>
      </w:pPr>
    </w:p>
    <w:p>
      <w:pPr>
        <w:spacing w:line="480" w:lineRule="auto"/>
        <w:rPr>
          <w:rFonts w:hint="eastAsia"/>
          <w:b/>
          <w:bCs/>
          <w:sz w:val="24"/>
          <w:szCs w:val="32"/>
        </w:rPr>
      </w:pPr>
      <w:r>
        <w:rPr>
          <w:rFonts w:hint="eastAsia"/>
          <w:b/>
          <w:bCs/>
          <w:sz w:val="24"/>
          <w:szCs w:val="32"/>
        </w:rPr>
        <w:t>1 目的</w:t>
      </w:r>
    </w:p>
    <w:p>
      <w:pPr>
        <w:spacing w:line="480" w:lineRule="auto"/>
        <w:rPr>
          <w:rFonts w:hint="eastAsia"/>
        </w:rPr>
      </w:pPr>
      <w:r>
        <w:rPr>
          <w:rFonts w:hint="eastAsia"/>
        </w:rPr>
        <w:t>为加强重大危险源的管理，防止重大安全事故的发生，降低事故造成的损失，制定本制度。</w:t>
      </w:r>
    </w:p>
    <w:p>
      <w:pPr>
        <w:spacing w:line="480" w:lineRule="auto"/>
        <w:rPr>
          <w:rFonts w:hint="eastAsia"/>
          <w:b/>
          <w:bCs/>
          <w:sz w:val="24"/>
          <w:szCs w:val="32"/>
        </w:rPr>
      </w:pPr>
      <w:r>
        <w:rPr>
          <w:rFonts w:hint="eastAsia"/>
          <w:b/>
          <w:bCs/>
          <w:sz w:val="24"/>
          <w:szCs w:val="32"/>
        </w:rPr>
        <w:t>2 范围</w:t>
      </w:r>
    </w:p>
    <w:p>
      <w:pPr>
        <w:spacing w:line="480" w:lineRule="auto"/>
        <w:rPr>
          <w:rFonts w:hint="eastAsia"/>
        </w:rPr>
      </w:pPr>
      <w:r>
        <w:rPr>
          <w:rFonts w:hint="eastAsia"/>
        </w:rPr>
        <w:t>适用于公司生产范围内，按《危险化学品重大危险源辩识》(GB18218-2009)、《危险化学品重大危险源监督管理暂行规定》(安监总局令第40号)等有关规定，辨识是否构成重大危险源和判定重大危险源的级别，并进行相关管理。</w:t>
      </w:r>
    </w:p>
    <w:p>
      <w:pPr>
        <w:spacing w:line="480" w:lineRule="auto"/>
        <w:rPr>
          <w:rFonts w:hint="eastAsia"/>
          <w:b/>
          <w:bCs/>
          <w:sz w:val="24"/>
          <w:szCs w:val="32"/>
        </w:rPr>
      </w:pPr>
      <w:r>
        <w:rPr>
          <w:rFonts w:hint="eastAsia"/>
          <w:b/>
          <w:bCs/>
          <w:sz w:val="24"/>
          <w:szCs w:val="32"/>
        </w:rPr>
        <w:t>3 职责</w:t>
      </w:r>
    </w:p>
    <w:p>
      <w:pPr>
        <w:spacing w:line="480" w:lineRule="auto"/>
        <w:rPr>
          <w:rFonts w:hint="eastAsia"/>
        </w:rPr>
      </w:pPr>
      <w:r>
        <w:rPr>
          <w:rFonts w:hint="eastAsia"/>
        </w:rPr>
        <w:t>3.1安全运行部组织或聘请有资质机构按规定对公司重大危险源定期进行评估;负责建立重大危险源的档案。</w:t>
      </w:r>
    </w:p>
    <w:p>
      <w:pPr>
        <w:spacing w:line="480" w:lineRule="auto"/>
        <w:rPr>
          <w:rFonts w:hint="eastAsia"/>
        </w:rPr>
      </w:pPr>
      <w:r>
        <w:rPr>
          <w:rFonts w:hint="eastAsia"/>
        </w:rPr>
        <w:t>3.2配气站负责所辖区重大危险源的管理和监控。</w:t>
      </w:r>
    </w:p>
    <w:p>
      <w:pPr>
        <w:spacing w:line="480" w:lineRule="auto"/>
        <w:rPr>
          <w:rFonts w:hint="eastAsia"/>
          <w:b/>
          <w:bCs/>
          <w:sz w:val="24"/>
          <w:szCs w:val="32"/>
        </w:rPr>
      </w:pPr>
      <w:r>
        <w:rPr>
          <w:rFonts w:hint="eastAsia"/>
          <w:b/>
          <w:bCs/>
          <w:sz w:val="24"/>
          <w:szCs w:val="32"/>
        </w:rPr>
        <w:t>4控制程序</w:t>
      </w:r>
    </w:p>
    <w:p>
      <w:pPr>
        <w:spacing w:line="480" w:lineRule="auto"/>
        <w:rPr>
          <w:rFonts w:hint="eastAsia"/>
        </w:rPr>
      </w:pPr>
      <w:r>
        <w:rPr>
          <w:rFonts w:hint="eastAsia"/>
        </w:rPr>
        <w:t>4.1按照《危险化学品重大危险源辩识》(GB18218-2009)等有关规定，安全运行部根据储存量的情况定期进行重大危险源辨识。</w:t>
      </w:r>
    </w:p>
    <w:p>
      <w:pPr>
        <w:spacing w:line="480" w:lineRule="auto"/>
        <w:rPr>
          <w:rFonts w:hint="eastAsia"/>
        </w:rPr>
      </w:pPr>
      <w:r>
        <w:rPr>
          <w:rFonts w:hint="eastAsia"/>
        </w:rPr>
        <w:t>4.2重大危险源的风险评价，辩识重大危险源后，应按照《危险化学品重大危险源监督管理暂行规定》(安监总局令第40号)对其进行风险评价和分级。重大危险源的风险评价包括以下几个方面:</w:t>
      </w:r>
    </w:p>
    <w:p>
      <w:pPr>
        <w:spacing w:line="480" w:lineRule="auto"/>
        <w:rPr>
          <w:rFonts w:hint="eastAsia"/>
        </w:rPr>
      </w:pPr>
      <w:r>
        <w:rPr>
          <w:rFonts w:hint="eastAsia"/>
        </w:rPr>
        <w:t>(1)辩识各类危险因素及其原因与机制。</w:t>
      </w:r>
    </w:p>
    <w:p>
      <w:pPr>
        <w:spacing w:line="480" w:lineRule="auto"/>
        <w:rPr>
          <w:rFonts w:hint="eastAsia"/>
        </w:rPr>
      </w:pPr>
      <w:r>
        <w:rPr>
          <w:rFonts w:hint="eastAsia"/>
        </w:rPr>
        <w:t>(2)依次评价已辩识的危险事件发生的概率。</w:t>
      </w:r>
    </w:p>
    <w:p>
      <w:pPr>
        <w:spacing w:line="480" w:lineRule="auto"/>
        <w:rPr>
          <w:rFonts w:hint="eastAsia"/>
        </w:rPr>
      </w:pPr>
      <w:r>
        <w:rPr>
          <w:rFonts w:hint="eastAsia"/>
        </w:rPr>
        <w:t>(3)评价危险事件的结果。</w:t>
      </w:r>
    </w:p>
    <w:p>
      <w:pPr>
        <w:spacing w:line="480" w:lineRule="auto"/>
        <w:rPr>
          <w:rFonts w:hint="eastAsia"/>
        </w:rPr>
      </w:pPr>
      <w:r>
        <w:rPr>
          <w:rFonts w:hint="eastAsia"/>
        </w:rPr>
        <w:t>(4)进行风险评价，即评价危险事件发生概率和发生后果的联合作用。</w:t>
      </w:r>
    </w:p>
    <w:p>
      <w:pPr>
        <w:spacing w:line="480" w:lineRule="auto"/>
        <w:rPr>
          <w:rFonts w:hint="eastAsia"/>
        </w:rPr>
      </w:pPr>
      <w:r>
        <w:rPr>
          <w:rFonts w:hint="eastAsia"/>
        </w:rPr>
        <w:t>(5)风险控制，即将上述评价结果与安全目标值进行比较，检查风险值是否达到了可接受水平，否则需进一步采取措施，降低危险水平。</w:t>
      </w:r>
    </w:p>
    <w:p>
      <w:pPr>
        <w:spacing w:line="480" w:lineRule="auto"/>
        <w:rPr>
          <w:rFonts w:hint="eastAsia"/>
        </w:rPr>
      </w:pPr>
      <w:r>
        <w:rPr>
          <w:rFonts w:hint="eastAsia"/>
        </w:rPr>
        <w:t>4</w:t>
      </w:r>
      <w:r>
        <w:rPr>
          <w:rFonts w:hint="eastAsia"/>
          <w:lang w:val="en-US" w:eastAsia="zh-CN"/>
        </w:rPr>
        <w:t>.</w:t>
      </w:r>
      <w:r>
        <w:rPr>
          <w:rFonts w:hint="eastAsia"/>
        </w:rPr>
        <w:t>3对重大危险源进行辩识和评价后，公司应对重大危险源制定管理制度，通过技术措施和管理措施，对重大危险源进行严格控制和管理。</w:t>
      </w:r>
    </w:p>
    <w:p>
      <w:pPr>
        <w:spacing w:line="480" w:lineRule="auto"/>
        <w:rPr>
          <w:rFonts w:hint="eastAsia"/>
        </w:rPr>
      </w:pPr>
      <w:r>
        <w:rPr>
          <w:rFonts w:hint="eastAsia"/>
        </w:rPr>
        <w:t>4.4确定为公司重大危险源后，应登记建档，进行定期评估。每三年对重大危险源进行一次评估，并将评估报告存入档案，将重大危险源风险评价结果与安全目标值进行比较，检查风险值是否达到了可接受水平，否则进一步采取措施，以降低风险等级。</w:t>
      </w:r>
    </w:p>
    <w:p>
      <w:pPr>
        <w:spacing w:line="480" w:lineRule="auto"/>
        <w:rPr>
          <w:rFonts w:hint="eastAsia"/>
        </w:rPr>
      </w:pPr>
      <w:r>
        <w:rPr>
          <w:rFonts w:hint="eastAsia"/>
        </w:rPr>
        <w:t>4.5安全运行部负责组织制定重大危险源的事故应急救援预案。</w:t>
      </w:r>
    </w:p>
    <w:p>
      <w:pPr>
        <w:spacing w:line="480" w:lineRule="auto"/>
        <w:rPr>
          <w:rFonts w:hint="eastAsia"/>
        </w:rPr>
      </w:pPr>
      <w:r>
        <w:rPr>
          <w:rFonts w:hint="eastAsia"/>
        </w:rPr>
        <w:t>4.6安全运行部对重大危险源一年组织进行一次应急救援预案演练，根据演练结果对应急预案进行评估，根据评估结果对预案进行修订，并将修订情况及时传达给从业人员。</w:t>
      </w:r>
    </w:p>
    <w:p>
      <w:pPr>
        <w:spacing w:line="480" w:lineRule="auto"/>
        <w:rPr>
          <w:rFonts w:hint="eastAsia"/>
        </w:rPr>
      </w:pPr>
      <w:r>
        <w:rPr>
          <w:rFonts w:hint="eastAsia"/>
        </w:rPr>
        <w:t>4</w:t>
      </w:r>
      <w:r>
        <w:rPr>
          <w:rFonts w:hint="eastAsia"/>
          <w:lang w:val="en-US" w:eastAsia="zh-CN"/>
        </w:rPr>
        <w:t>.</w:t>
      </w:r>
      <w:r>
        <w:rPr>
          <w:rFonts w:hint="eastAsia"/>
        </w:rPr>
        <w:t>7构成重大危险源的设施与周边安全防护距离应符合《危险化学品安全管理条例》第十九条及国家有关安全防护距离的规定。</w:t>
      </w:r>
    </w:p>
    <w:p>
      <w:pPr>
        <w:spacing w:line="480" w:lineRule="auto"/>
        <w:rPr>
          <w:rFonts w:hint="eastAsia"/>
        </w:rPr>
      </w:pPr>
      <w:r>
        <w:rPr>
          <w:rFonts w:hint="eastAsia"/>
        </w:rPr>
        <w:t>4.8 公司、各配气站每月不得少于一次进行专项安全综合检查。</w:t>
      </w:r>
    </w:p>
    <w:p>
      <w:pPr>
        <w:spacing w:line="480" w:lineRule="auto"/>
        <w:rPr>
          <w:rFonts w:hint="eastAsia"/>
        </w:rPr>
      </w:pPr>
      <w:r>
        <w:rPr>
          <w:rFonts w:hint="eastAsia"/>
        </w:rPr>
        <w:t>4.9各配气站班组对生产装置的日常巡回检查记录要及时。</w:t>
      </w:r>
    </w:p>
    <w:p>
      <w:pPr>
        <w:spacing w:line="480" w:lineRule="auto"/>
        <w:rPr>
          <w:rFonts w:hint="eastAsia"/>
        </w:rPr>
      </w:pPr>
      <w:r>
        <w:rPr>
          <w:rFonts w:hint="eastAsia"/>
        </w:rPr>
        <w:t>4.10 班组员工必须按规定进行巡回检查。</w:t>
      </w:r>
    </w:p>
    <w:p>
      <w:pPr>
        <w:spacing w:line="480" w:lineRule="auto"/>
        <w:rPr>
          <w:rFonts w:hint="eastAsia"/>
        </w:rPr>
      </w:pPr>
      <w:r>
        <w:rPr>
          <w:rFonts w:hint="eastAsia"/>
        </w:rPr>
        <w:t>4</w:t>
      </w:r>
      <w:r>
        <w:rPr>
          <w:rFonts w:hint="eastAsia"/>
          <w:lang w:val="en-US" w:eastAsia="zh-CN"/>
        </w:rPr>
        <w:t>.</w:t>
      </w:r>
      <w:r>
        <w:rPr>
          <w:rFonts w:hint="eastAsia"/>
        </w:rPr>
        <w:t>11凡进入重大危险源区域作业人员，必须经过上岗培训并取得合格证才能进入工作岗位，区域内所有设施的更改需要综合管理部按程字审核同意方可实施，外来人员要有专人陪同方可入内。</w:t>
      </w:r>
    </w:p>
    <w:p>
      <w:pPr>
        <w:spacing w:line="480" w:lineRule="auto"/>
        <w:rPr>
          <w:rFonts w:hint="eastAsia"/>
        </w:rPr>
      </w:pPr>
      <w:r>
        <w:rPr>
          <w:rFonts w:hint="eastAsia"/>
        </w:rPr>
        <w:t>4.12 维修及动火作业必须有书面报告，经现场查看、验收合格，方可下达动火许可证，在区域内严禁无证动火。实行谁施工作业谁负责，安全达不到要求不作业，</w:t>
      </w:r>
    </w:p>
    <w:p>
      <w:pPr>
        <w:spacing w:line="480" w:lineRule="auto"/>
        <w:rPr>
          <w:rFonts w:hint="eastAsia"/>
        </w:rPr>
      </w:pPr>
      <w:r>
        <w:rPr>
          <w:rFonts w:hint="eastAsia"/>
        </w:rPr>
        <w:t>4.13配气站安全员对区域内的消防器材及应急物资的完好率负责，采取定期检查和抽查相结合，保障设施正常运转使用。</w:t>
      </w:r>
    </w:p>
    <w:p>
      <w:pPr>
        <w:spacing w:line="480" w:lineRule="auto"/>
        <w:rPr>
          <w:rFonts w:hint="eastAsia"/>
        </w:rPr>
      </w:pPr>
      <w:r>
        <w:rPr>
          <w:rFonts w:hint="eastAsia"/>
        </w:rPr>
        <w:t>4.14运输物资需采用有危险品运输资质的单位承运，进入本公司重大危险源区域的运输车辆必须戴上阻火器方可入内。</w:t>
      </w:r>
    </w:p>
    <w:p>
      <w:pPr>
        <w:spacing w:line="480" w:lineRule="auto"/>
        <w:rPr>
          <w:rFonts w:hint="eastAsia"/>
        </w:rPr>
      </w:pPr>
      <w:r>
        <w:rPr>
          <w:rFonts w:hint="eastAsia"/>
        </w:rPr>
        <w:t>4.15根据具体要求和国家有关规定，在重大危险区域内安装监控设施及电话报警器，对重要部位进行实时监控。</w:t>
      </w:r>
    </w:p>
    <w:p>
      <w:pPr>
        <w:spacing w:line="480" w:lineRule="auto"/>
        <w:rPr>
          <w:rFonts w:hint="eastAsia"/>
        </w:rPr>
      </w:pPr>
      <w:r>
        <w:rPr>
          <w:rFonts w:hint="eastAsia"/>
        </w:rPr>
        <w:t>4</w:t>
      </w:r>
      <w:r>
        <w:rPr>
          <w:rFonts w:hint="eastAsia"/>
          <w:lang w:val="en-US" w:eastAsia="zh-CN"/>
        </w:rPr>
        <w:t>.</w:t>
      </w:r>
      <w:r>
        <w:rPr>
          <w:rFonts w:hint="eastAsia"/>
        </w:rPr>
        <w:t>16对于在日常工作中发现的事故隐患，通过整改避免事故发生的，公司将给予奖励，对于在安全检查中发现问题的，将责令限期完成整改并进行公示，对事故苗头知情不报者将给予处罚。</w:t>
      </w:r>
    </w:p>
    <w:p>
      <w:pPr>
        <w:spacing w:line="480" w:lineRule="auto"/>
        <w:rPr>
          <w:rFonts w:hint="eastAsia"/>
          <w:b/>
          <w:bCs/>
          <w:sz w:val="24"/>
          <w:szCs w:val="32"/>
        </w:rPr>
      </w:pPr>
      <w:r>
        <w:rPr>
          <w:rFonts w:hint="eastAsia"/>
          <w:b/>
          <w:bCs/>
          <w:sz w:val="24"/>
          <w:szCs w:val="32"/>
        </w:rPr>
        <w:t>5相关文件和记录</w:t>
      </w:r>
    </w:p>
    <w:p>
      <w:pPr>
        <w:spacing w:line="480" w:lineRule="auto"/>
        <w:rPr>
          <w:rFonts w:hint="eastAsia"/>
        </w:rPr>
      </w:pPr>
      <w:r>
        <w:rPr>
          <w:rFonts w:hint="eastAsia"/>
        </w:rPr>
        <w:t>5</w:t>
      </w:r>
      <w:r>
        <w:rPr>
          <w:rFonts w:hint="eastAsia"/>
          <w:lang w:val="en-US" w:eastAsia="zh-CN"/>
        </w:rPr>
        <w:t>.</w:t>
      </w:r>
      <w:r>
        <w:rPr>
          <w:rFonts w:hint="eastAsia"/>
        </w:rPr>
        <w:t>1重大危险源检查表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29"/>
        <w:gridCol w:w="2730"/>
        <w:gridCol w:w="2415"/>
        <w:gridCol w:w="120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059" w:type="dxa"/>
            <w:gridSpan w:val="2"/>
          </w:tcPr>
          <w:p>
            <w:pPr>
              <w:tabs>
                <w:tab w:val="left" w:pos="906"/>
              </w:tabs>
              <w:spacing w:line="480" w:lineRule="auto"/>
              <w:rPr>
                <w:rFonts w:hint="eastAsia" w:eastAsiaTheme="minorEastAsia"/>
                <w:vertAlign w:val="baseline"/>
                <w:lang w:eastAsia="zh-CN"/>
              </w:rPr>
            </w:pPr>
            <w:r>
              <w:rPr>
                <w:rFonts w:hint="eastAsia"/>
                <w:vertAlign w:val="baseline"/>
                <w:lang w:eastAsia="zh-CN"/>
              </w:rPr>
              <w:tab/>
              <w:t>重大危险源名称</w:t>
            </w:r>
          </w:p>
        </w:tc>
        <w:tc>
          <w:tcPr>
            <w:tcW w:w="4463" w:type="dxa"/>
            <w:gridSpan w:val="3"/>
          </w:tcPr>
          <w:p>
            <w:pPr>
              <w:spacing w:line="480" w:lineRule="auto"/>
              <w:rPr>
                <w:rFonts w:hint="default" w:eastAsiaTheme="minorEastAsia"/>
                <w:vertAlign w:val="baseline"/>
                <w:lang w:val="en-US" w:eastAsia="zh-CN"/>
              </w:rPr>
            </w:pPr>
            <w:r>
              <w:rPr>
                <w:rFonts w:hint="eastAsia"/>
                <w:vertAlign w:val="baseline"/>
                <w:lang w:eastAsia="zh-CN"/>
              </w:rPr>
              <w:t>检查时间</w:t>
            </w: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检查项目</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检查内容</w:t>
            </w:r>
          </w:p>
        </w:tc>
        <w:tc>
          <w:tcPr>
            <w:tcW w:w="2415" w:type="dxa"/>
          </w:tcPr>
          <w:p>
            <w:pPr>
              <w:spacing w:line="480" w:lineRule="auto"/>
              <w:jc w:val="center"/>
              <w:rPr>
                <w:rFonts w:hint="default" w:eastAsiaTheme="minorEastAsia"/>
                <w:vertAlign w:val="baseline"/>
                <w:lang w:val="en-US" w:eastAsia="zh-CN"/>
              </w:rPr>
            </w:pPr>
            <w:r>
              <w:rPr>
                <w:rFonts w:hint="eastAsia"/>
                <w:vertAlign w:val="baseline"/>
                <w:lang w:eastAsia="zh-CN"/>
              </w:rPr>
              <w:t>检查结果：合格</w:t>
            </w:r>
            <w:r>
              <w:rPr>
                <w:rFonts w:hint="eastAsia"/>
                <w:vertAlign w:val="baseline"/>
                <w:lang w:val="en-US" w:eastAsia="zh-CN"/>
              </w:rPr>
              <w:t>/不合格</w:t>
            </w:r>
          </w:p>
        </w:tc>
        <w:tc>
          <w:tcPr>
            <w:tcW w:w="1200" w:type="dxa"/>
          </w:tcPr>
          <w:p>
            <w:pPr>
              <w:spacing w:line="480" w:lineRule="auto"/>
              <w:jc w:val="center"/>
              <w:rPr>
                <w:rFonts w:hint="eastAsia" w:eastAsiaTheme="minorEastAsia"/>
                <w:vertAlign w:val="baseline"/>
                <w:lang w:eastAsia="zh-CN"/>
              </w:rPr>
            </w:pPr>
            <w:r>
              <w:rPr>
                <w:rFonts w:hint="eastAsia"/>
                <w:vertAlign w:val="baseline"/>
                <w:lang w:eastAsia="zh-CN"/>
              </w:rPr>
              <w:t>整改情况</w:t>
            </w:r>
          </w:p>
        </w:tc>
        <w:tc>
          <w:tcPr>
            <w:tcW w:w="848" w:type="dxa"/>
          </w:tcPr>
          <w:p>
            <w:pPr>
              <w:spacing w:line="480" w:lineRule="auto"/>
              <w:jc w:val="cente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安全阀</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检查安全阀是否完好，是否灵活好用</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压力表</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检查压力表是否正常</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防雷设施</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检查避雷和静电接地情况</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消防情况</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检查消防器具、消防情况</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劳保用品</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检查劳保用品的完好情况</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操作人员</w:t>
            </w:r>
          </w:p>
        </w:tc>
        <w:tc>
          <w:tcPr>
            <w:tcW w:w="2730" w:type="dxa"/>
          </w:tcPr>
          <w:p>
            <w:pPr>
              <w:spacing w:line="480" w:lineRule="auto"/>
              <w:jc w:val="center"/>
              <w:rPr>
                <w:rFonts w:hint="eastAsia" w:eastAsiaTheme="minorEastAsia"/>
                <w:vertAlign w:val="baseline"/>
                <w:lang w:eastAsia="zh-CN"/>
              </w:rPr>
            </w:pPr>
            <w:r>
              <w:rPr>
                <w:rFonts w:hint="eastAsia"/>
                <w:vertAlign w:val="baseline"/>
                <w:lang w:eastAsia="zh-CN"/>
              </w:rPr>
              <w:t>检查操作人员的上岗情况</w:t>
            </w:r>
          </w:p>
        </w:tc>
        <w:tc>
          <w:tcPr>
            <w:tcW w:w="2415" w:type="dxa"/>
          </w:tcPr>
          <w:p>
            <w:pPr>
              <w:spacing w:line="480" w:lineRule="auto"/>
              <w:jc w:val="center"/>
              <w:rPr>
                <w:rFonts w:hint="eastAsia"/>
                <w:vertAlign w:val="baseline"/>
              </w:rPr>
            </w:pPr>
          </w:p>
        </w:tc>
        <w:tc>
          <w:tcPr>
            <w:tcW w:w="1200" w:type="dxa"/>
          </w:tcPr>
          <w:p>
            <w:pPr>
              <w:spacing w:line="480" w:lineRule="auto"/>
              <w:jc w:val="center"/>
              <w:rPr>
                <w:rFonts w:hint="eastAsia"/>
                <w:vertAlign w:val="baseline"/>
              </w:rPr>
            </w:pPr>
          </w:p>
        </w:tc>
        <w:tc>
          <w:tcPr>
            <w:tcW w:w="848" w:type="dxa"/>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部门负责人</w:t>
            </w:r>
          </w:p>
        </w:tc>
        <w:tc>
          <w:tcPr>
            <w:tcW w:w="7193" w:type="dxa"/>
            <w:gridSpan w:val="4"/>
          </w:tcPr>
          <w:p>
            <w:pPr>
              <w:spacing w:line="480" w:lineRule="auto"/>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57" w:hRule="atLeast"/>
        </w:trPr>
        <w:tc>
          <w:tcPr>
            <w:tcW w:w="1329" w:type="dxa"/>
          </w:tcPr>
          <w:p>
            <w:pPr>
              <w:spacing w:line="480" w:lineRule="auto"/>
              <w:jc w:val="center"/>
              <w:rPr>
                <w:rFonts w:hint="eastAsia" w:eastAsiaTheme="minorEastAsia"/>
                <w:vertAlign w:val="baseline"/>
                <w:lang w:eastAsia="zh-CN"/>
              </w:rPr>
            </w:pPr>
            <w:r>
              <w:rPr>
                <w:rFonts w:hint="eastAsia"/>
                <w:vertAlign w:val="baseline"/>
                <w:lang w:eastAsia="zh-CN"/>
              </w:rPr>
              <w:t>检查人员</w:t>
            </w:r>
          </w:p>
        </w:tc>
        <w:tc>
          <w:tcPr>
            <w:tcW w:w="7193" w:type="dxa"/>
            <w:gridSpan w:val="4"/>
          </w:tcPr>
          <w:p>
            <w:pPr>
              <w:spacing w:line="480" w:lineRule="auto"/>
              <w:jc w:val="center"/>
              <w:rPr>
                <w:rFonts w:hint="eastAsia"/>
                <w:vertAlign w:val="baseline"/>
              </w:rPr>
            </w:pPr>
          </w:p>
        </w:tc>
      </w:tr>
    </w:tbl>
    <w:p>
      <w:pPr>
        <w:spacing w:line="480" w:lineRule="auto"/>
        <w:rPr>
          <w:rFonts w:hint="eastAsia"/>
        </w:rPr>
      </w:pPr>
    </w:p>
    <w:p>
      <w:pPr>
        <w:spacing w:line="480" w:lineRule="auto"/>
        <w:jc w:val="center"/>
        <w:rPr>
          <w:rFonts w:hint="eastAsia"/>
          <w:b/>
          <w:bCs/>
          <w:sz w:val="36"/>
          <w:szCs w:val="44"/>
        </w:rPr>
      </w:pPr>
    </w:p>
    <w:p>
      <w:pPr>
        <w:spacing w:line="480" w:lineRule="auto"/>
        <w:jc w:val="center"/>
        <w:rPr>
          <w:rFonts w:hint="eastAsia"/>
          <w:b/>
          <w:bCs/>
          <w:sz w:val="36"/>
          <w:szCs w:val="44"/>
        </w:rPr>
      </w:pPr>
      <w:r>
        <w:rPr>
          <w:rFonts w:hint="eastAsia"/>
          <w:b/>
          <w:bCs/>
          <w:sz w:val="36"/>
          <w:szCs w:val="44"/>
        </w:rPr>
        <w:t>“双重预防机制”建设责任制度</w:t>
      </w:r>
    </w:p>
    <w:p>
      <w:pPr>
        <w:spacing w:line="480" w:lineRule="auto"/>
        <w:jc w:val="center"/>
        <w:rPr>
          <w:rFonts w:hint="eastAsia"/>
          <w:b/>
          <w:bCs/>
          <w:sz w:val="36"/>
          <w:szCs w:val="44"/>
        </w:rPr>
      </w:pPr>
    </w:p>
    <w:p>
      <w:pPr>
        <w:spacing w:line="480" w:lineRule="auto"/>
        <w:rPr>
          <w:rFonts w:hint="eastAsia" w:eastAsiaTheme="minorEastAsia"/>
          <w:b/>
          <w:bCs/>
          <w:sz w:val="22"/>
          <w:szCs w:val="28"/>
          <w:lang w:eastAsia="zh-CN"/>
        </w:rPr>
      </w:pPr>
      <w:r>
        <w:rPr>
          <w:rFonts w:hint="eastAsia"/>
          <w:b/>
          <w:bCs/>
          <w:sz w:val="24"/>
          <w:szCs w:val="32"/>
        </w:rPr>
        <w:t>1</w:t>
      </w:r>
      <w:r>
        <w:rPr>
          <w:rFonts w:hint="eastAsia"/>
          <w:b/>
          <w:bCs/>
          <w:sz w:val="22"/>
          <w:szCs w:val="28"/>
        </w:rPr>
        <w:t>.目</w:t>
      </w:r>
      <w:r>
        <w:rPr>
          <w:rFonts w:hint="eastAsia"/>
          <w:b/>
          <w:bCs/>
          <w:sz w:val="22"/>
          <w:szCs w:val="28"/>
          <w:lang w:eastAsia="zh-CN"/>
        </w:rPr>
        <w:t>的</w:t>
      </w:r>
    </w:p>
    <w:p>
      <w:pPr>
        <w:spacing w:line="480" w:lineRule="auto"/>
        <w:rPr>
          <w:rFonts w:hint="eastAsia"/>
          <w:b w:val="0"/>
          <w:bCs w:val="0"/>
          <w:sz w:val="22"/>
          <w:szCs w:val="28"/>
        </w:rPr>
      </w:pPr>
      <w:r>
        <w:rPr>
          <w:rFonts w:hint="eastAsia"/>
          <w:sz w:val="22"/>
          <w:szCs w:val="28"/>
        </w:rPr>
        <w:t>为进一步贯彻落实《国务院安委会办公室关于实施遏制重特大事故工作指南构建双重预防机制的意见》(安委办(2016)11号)的精神，构建安全风险分级管控和隐患排查治理的双重预防机制(以下简称双重预防机制)，遏制重特大事故的发生，加强安全</w:t>
      </w:r>
      <w:r>
        <w:rPr>
          <w:rFonts w:hint="eastAsia"/>
          <w:b w:val="0"/>
          <w:bCs w:val="0"/>
          <w:sz w:val="22"/>
          <w:szCs w:val="28"/>
        </w:rPr>
        <w:t>生产管理工作，特制定本制度。</w:t>
      </w:r>
    </w:p>
    <w:p>
      <w:pPr>
        <w:spacing w:line="480" w:lineRule="auto"/>
        <w:rPr>
          <w:rFonts w:hint="eastAsia"/>
          <w:b/>
          <w:bCs/>
          <w:sz w:val="22"/>
          <w:szCs w:val="28"/>
        </w:rPr>
      </w:pPr>
      <w:r>
        <w:rPr>
          <w:rFonts w:hint="eastAsia"/>
          <w:b/>
          <w:bCs/>
          <w:sz w:val="22"/>
          <w:szCs w:val="28"/>
        </w:rPr>
        <w:t>2.适用范围</w:t>
      </w:r>
    </w:p>
    <w:p>
      <w:pPr>
        <w:spacing w:line="480" w:lineRule="auto"/>
        <w:rPr>
          <w:rFonts w:hint="eastAsia"/>
          <w:sz w:val="22"/>
          <w:szCs w:val="28"/>
        </w:rPr>
      </w:pPr>
      <w:r>
        <w:rPr>
          <w:rFonts w:hint="eastAsia"/>
          <w:sz w:val="22"/>
          <w:szCs w:val="28"/>
        </w:rPr>
        <w:t>本责任制适用于公司各组织机构、各级人员，同时作为公司双重预防机制建设考核的重要实施依据。</w:t>
      </w:r>
    </w:p>
    <w:p>
      <w:pPr>
        <w:spacing w:line="480" w:lineRule="auto"/>
        <w:rPr>
          <w:rFonts w:hint="eastAsia"/>
          <w:b/>
          <w:bCs/>
          <w:sz w:val="22"/>
          <w:szCs w:val="28"/>
        </w:rPr>
      </w:pPr>
      <w:r>
        <w:rPr>
          <w:rFonts w:hint="eastAsia"/>
          <w:b/>
          <w:bCs/>
          <w:sz w:val="22"/>
          <w:szCs w:val="28"/>
        </w:rPr>
        <w:t>3.术语定义</w:t>
      </w:r>
    </w:p>
    <w:p>
      <w:pPr>
        <w:spacing w:line="480" w:lineRule="auto"/>
        <w:rPr>
          <w:rFonts w:hint="eastAsia"/>
          <w:sz w:val="22"/>
          <w:szCs w:val="28"/>
        </w:rPr>
      </w:pPr>
      <w:r>
        <w:rPr>
          <w:rFonts w:hint="eastAsia"/>
          <w:sz w:val="22"/>
          <w:szCs w:val="28"/>
        </w:rPr>
        <w:t>双重预防机制:即安全风险分级管控和隐患排查治理</w:t>
      </w:r>
    </w:p>
    <w:p>
      <w:pPr>
        <w:spacing w:line="480" w:lineRule="auto"/>
        <w:rPr>
          <w:rFonts w:hint="eastAsia"/>
          <w:b/>
          <w:bCs/>
          <w:sz w:val="24"/>
          <w:szCs w:val="32"/>
        </w:rPr>
      </w:pPr>
      <w:r>
        <w:rPr>
          <w:rFonts w:hint="eastAsia"/>
          <w:b/>
          <w:bCs/>
          <w:sz w:val="24"/>
          <w:szCs w:val="32"/>
        </w:rPr>
        <w:t>4.各级人员及岗位职责</w:t>
      </w:r>
    </w:p>
    <w:p>
      <w:pPr>
        <w:spacing w:line="480" w:lineRule="auto"/>
        <w:rPr>
          <w:rFonts w:hint="eastAsia"/>
          <w:b w:val="0"/>
          <w:bCs w:val="0"/>
          <w:sz w:val="22"/>
          <w:szCs w:val="28"/>
        </w:rPr>
      </w:pPr>
      <w:r>
        <w:rPr>
          <w:rFonts w:hint="eastAsia"/>
          <w:b w:val="0"/>
          <w:bCs w:val="0"/>
          <w:sz w:val="22"/>
          <w:szCs w:val="28"/>
        </w:rPr>
        <w:t>4.1总经理职责</w:t>
      </w:r>
    </w:p>
    <w:p>
      <w:pPr>
        <w:spacing w:line="480" w:lineRule="auto"/>
        <w:rPr>
          <w:rFonts w:hint="eastAsia"/>
          <w:sz w:val="22"/>
          <w:szCs w:val="28"/>
        </w:rPr>
      </w:pPr>
      <w:r>
        <w:rPr>
          <w:rFonts w:hint="eastAsia"/>
          <w:sz w:val="22"/>
          <w:szCs w:val="28"/>
        </w:rPr>
        <w:t>4</w:t>
      </w:r>
      <w:r>
        <w:rPr>
          <w:rFonts w:hint="eastAsia"/>
          <w:sz w:val="22"/>
          <w:szCs w:val="28"/>
          <w:lang w:val="en-US" w:eastAsia="zh-CN"/>
        </w:rPr>
        <w:t>.</w:t>
      </w:r>
      <w:r>
        <w:rPr>
          <w:rFonts w:hint="eastAsia"/>
          <w:sz w:val="22"/>
          <w:szCs w:val="28"/>
        </w:rPr>
        <w:t>1</w:t>
      </w:r>
      <w:r>
        <w:rPr>
          <w:rFonts w:hint="eastAsia"/>
          <w:sz w:val="22"/>
          <w:szCs w:val="28"/>
          <w:lang w:val="en-US" w:eastAsia="zh-CN"/>
        </w:rPr>
        <w:t>.</w:t>
      </w:r>
      <w:r>
        <w:rPr>
          <w:rFonts w:hint="eastAsia"/>
          <w:sz w:val="22"/>
          <w:szCs w:val="28"/>
        </w:rPr>
        <w:t>1对公司双重预防机制建设及持续保持有效承担领导责任，并就有关事项向全体职工、安全监管和行业主管部门作出书面安全生产承诺。</w:t>
      </w:r>
    </w:p>
    <w:p>
      <w:pPr>
        <w:spacing w:line="480" w:lineRule="auto"/>
        <w:rPr>
          <w:rFonts w:hint="eastAsia"/>
          <w:sz w:val="22"/>
          <w:szCs w:val="28"/>
        </w:rPr>
      </w:pPr>
      <w:r>
        <w:rPr>
          <w:rFonts w:hint="eastAsia"/>
          <w:sz w:val="22"/>
          <w:szCs w:val="28"/>
        </w:rPr>
        <w:t>4.1.2确保可获得建立、实施、保持和持续改进双重预防机制所需的资源(包括人力资源和专门技能、方法、监测工具或仪器、信息系统、技术与财务等)。</w:t>
      </w:r>
    </w:p>
    <w:p>
      <w:pPr>
        <w:spacing w:line="480" w:lineRule="auto"/>
        <w:rPr>
          <w:rFonts w:hint="eastAsia"/>
          <w:sz w:val="22"/>
          <w:szCs w:val="28"/>
        </w:rPr>
      </w:pPr>
      <w:r>
        <w:rPr>
          <w:rFonts w:hint="eastAsia"/>
          <w:sz w:val="22"/>
          <w:szCs w:val="28"/>
        </w:rPr>
        <w:t>4.1.3明确涉及各</w:t>
      </w:r>
      <w:r>
        <w:rPr>
          <w:rFonts w:hint="eastAsia"/>
          <w:sz w:val="22"/>
          <w:szCs w:val="28"/>
          <w:lang w:eastAsia="zh-CN"/>
        </w:rPr>
        <w:t>门站</w:t>
      </w:r>
      <w:r>
        <w:rPr>
          <w:rFonts w:hint="eastAsia"/>
          <w:sz w:val="22"/>
          <w:szCs w:val="28"/>
        </w:rPr>
        <w:t>、各岗位的安全职责与权限。</w:t>
      </w:r>
    </w:p>
    <w:p>
      <w:pPr>
        <w:spacing w:line="480" w:lineRule="auto"/>
        <w:rPr>
          <w:rFonts w:hint="eastAsia"/>
          <w:sz w:val="22"/>
          <w:szCs w:val="28"/>
        </w:rPr>
      </w:pPr>
      <w:r>
        <w:rPr>
          <w:rFonts w:hint="eastAsia"/>
          <w:sz w:val="22"/>
          <w:szCs w:val="28"/>
        </w:rPr>
        <w:t>4.1.4确保全员参与安全风险分级管控体系的建立、实施、保持和持续改进。</w:t>
      </w:r>
    </w:p>
    <w:p>
      <w:pPr>
        <w:spacing w:line="480" w:lineRule="auto"/>
        <w:rPr>
          <w:rFonts w:hint="eastAsia"/>
          <w:sz w:val="22"/>
          <w:szCs w:val="28"/>
        </w:rPr>
      </w:pPr>
      <w:r>
        <w:rPr>
          <w:rFonts w:hint="eastAsia"/>
          <w:sz w:val="22"/>
          <w:szCs w:val="28"/>
        </w:rPr>
        <w:t>4.1.5掌握2级以上(橙色级和红色级)风险分布情况、事故后果、典型控制措施及</w:t>
      </w:r>
    </w:p>
    <w:p>
      <w:pPr>
        <w:spacing w:line="480" w:lineRule="auto"/>
        <w:rPr>
          <w:rFonts w:hint="eastAsia"/>
          <w:sz w:val="22"/>
          <w:szCs w:val="28"/>
        </w:rPr>
      </w:pPr>
      <w:r>
        <w:rPr>
          <w:rFonts w:hint="eastAsia"/>
          <w:sz w:val="22"/>
          <w:szCs w:val="28"/>
        </w:rPr>
        <w:t>可能存在的隐患。</w:t>
      </w:r>
    </w:p>
    <w:p>
      <w:pPr>
        <w:spacing w:line="480" w:lineRule="auto"/>
        <w:rPr>
          <w:rFonts w:hint="eastAsia"/>
          <w:sz w:val="22"/>
          <w:szCs w:val="28"/>
        </w:rPr>
      </w:pPr>
      <w:r>
        <w:rPr>
          <w:rFonts w:hint="eastAsia"/>
          <w:sz w:val="22"/>
          <w:szCs w:val="28"/>
        </w:rPr>
        <w:t>4.1.6负责组织对公司双重预防机制建设及保持情况进行考核。</w:t>
      </w:r>
    </w:p>
    <w:p>
      <w:pPr>
        <w:spacing w:line="480" w:lineRule="auto"/>
        <w:rPr>
          <w:rFonts w:hint="eastAsia"/>
          <w:b/>
          <w:bCs/>
          <w:sz w:val="22"/>
          <w:szCs w:val="28"/>
        </w:rPr>
      </w:pPr>
      <w:r>
        <w:rPr>
          <w:rFonts w:hint="eastAsia"/>
          <w:b/>
          <w:bCs/>
          <w:sz w:val="22"/>
          <w:szCs w:val="28"/>
        </w:rPr>
        <w:t>4.2</w:t>
      </w:r>
      <w:r>
        <w:rPr>
          <w:rFonts w:hint="eastAsia"/>
          <w:b/>
          <w:bCs/>
          <w:sz w:val="22"/>
          <w:szCs w:val="28"/>
          <w:lang w:eastAsia="zh-CN"/>
        </w:rPr>
        <w:t>安全科长</w:t>
      </w:r>
      <w:r>
        <w:rPr>
          <w:rFonts w:hint="eastAsia"/>
          <w:b/>
          <w:bCs/>
          <w:sz w:val="22"/>
          <w:szCs w:val="28"/>
        </w:rPr>
        <w:t>职责</w:t>
      </w:r>
    </w:p>
    <w:p>
      <w:pPr>
        <w:spacing w:line="480" w:lineRule="auto"/>
        <w:rPr>
          <w:rFonts w:hint="eastAsia"/>
          <w:sz w:val="22"/>
          <w:szCs w:val="28"/>
        </w:rPr>
      </w:pPr>
      <w:r>
        <w:rPr>
          <w:rFonts w:hint="eastAsia"/>
          <w:sz w:val="22"/>
          <w:szCs w:val="28"/>
        </w:rPr>
        <w:t>4.2</w:t>
      </w:r>
      <w:r>
        <w:rPr>
          <w:rFonts w:hint="eastAsia"/>
          <w:sz w:val="22"/>
          <w:szCs w:val="28"/>
          <w:lang w:val="en-US" w:eastAsia="zh-CN"/>
        </w:rPr>
        <w:t>.</w:t>
      </w:r>
      <w:r>
        <w:rPr>
          <w:rFonts w:hint="eastAsia"/>
          <w:sz w:val="22"/>
          <w:szCs w:val="28"/>
        </w:rPr>
        <w:t>1组织开展公司双重预防机制建设及持续改进工作。</w:t>
      </w:r>
    </w:p>
    <w:p>
      <w:pPr>
        <w:spacing w:line="480" w:lineRule="auto"/>
        <w:rPr>
          <w:rFonts w:hint="eastAsia"/>
          <w:sz w:val="22"/>
          <w:szCs w:val="28"/>
        </w:rPr>
      </w:pPr>
      <w:r>
        <w:rPr>
          <w:rFonts w:hint="eastAsia"/>
          <w:sz w:val="22"/>
          <w:szCs w:val="28"/>
        </w:rPr>
        <w:t>4.2</w:t>
      </w:r>
      <w:r>
        <w:rPr>
          <w:rFonts w:hint="eastAsia"/>
          <w:sz w:val="22"/>
          <w:szCs w:val="28"/>
          <w:lang w:val="en-US" w:eastAsia="zh-CN"/>
        </w:rPr>
        <w:t>.</w:t>
      </w:r>
      <w:r>
        <w:rPr>
          <w:rFonts w:hint="eastAsia"/>
          <w:sz w:val="22"/>
          <w:szCs w:val="28"/>
        </w:rPr>
        <w:t>2审核、落实双重预防机制建设所需的资源(包括人力资源和专门技能、方法、监测工具或仪器、信息系统、技术等)</w:t>
      </w:r>
    </w:p>
    <w:p>
      <w:pPr>
        <w:spacing w:line="480" w:lineRule="auto"/>
        <w:rPr>
          <w:rFonts w:hint="eastAsia"/>
          <w:sz w:val="22"/>
          <w:szCs w:val="28"/>
        </w:rPr>
      </w:pPr>
      <w:r>
        <w:rPr>
          <w:rFonts w:hint="eastAsia"/>
          <w:sz w:val="22"/>
          <w:szCs w:val="28"/>
        </w:rPr>
        <w:t>4.2.3掌握2级以上(橙色级和红色级)风险分布情况、事故后果、典型控制措施及可能存在的隐患。</w:t>
      </w:r>
    </w:p>
    <w:p>
      <w:pPr>
        <w:spacing w:line="480" w:lineRule="auto"/>
        <w:rPr>
          <w:rFonts w:hint="eastAsia"/>
          <w:sz w:val="22"/>
          <w:szCs w:val="28"/>
        </w:rPr>
      </w:pPr>
      <w:r>
        <w:rPr>
          <w:rFonts w:hint="eastAsia"/>
          <w:sz w:val="22"/>
          <w:szCs w:val="28"/>
        </w:rPr>
        <w:t>4.2.4 组织拟订双重预防机制建设工作方案，并组织实施。</w:t>
      </w:r>
    </w:p>
    <w:p>
      <w:pPr>
        <w:spacing w:line="480" w:lineRule="auto"/>
        <w:rPr>
          <w:rFonts w:hint="eastAsia"/>
          <w:sz w:val="22"/>
          <w:szCs w:val="28"/>
        </w:rPr>
      </w:pPr>
      <w:r>
        <w:rPr>
          <w:rFonts w:hint="eastAsia"/>
          <w:sz w:val="22"/>
          <w:szCs w:val="28"/>
        </w:rPr>
        <w:t>4.4.</w:t>
      </w:r>
      <w:r>
        <w:rPr>
          <w:rFonts w:hint="eastAsia"/>
          <w:sz w:val="22"/>
          <w:szCs w:val="28"/>
          <w:lang w:val="en-US" w:eastAsia="zh-CN"/>
        </w:rPr>
        <w:t>5</w:t>
      </w:r>
      <w:r>
        <w:rPr>
          <w:rFonts w:hint="eastAsia"/>
          <w:sz w:val="22"/>
          <w:szCs w:val="28"/>
        </w:rPr>
        <w:t>依据本专业隐患排查治理清单，开展本部门辖区内各种安全检查，及时排查生产安全事故隐患。</w:t>
      </w:r>
    </w:p>
    <w:p>
      <w:pPr>
        <w:spacing w:line="480" w:lineRule="auto"/>
        <w:rPr>
          <w:rFonts w:hint="eastAsia"/>
          <w:sz w:val="22"/>
          <w:szCs w:val="28"/>
        </w:rPr>
      </w:pPr>
      <w:r>
        <w:rPr>
          <w:rFonts w:hint="eastAsia"/>
          <w:b/>
          <w:bCs/>
          <w:sz w:val="22"/>
          <w:szCs w:val="28"/>
        </w:rPr>
        <w:t>4.</w:t>
      </w:r>
      <w:r>
        <w:rPr>
          <w:rFonts w:hint="eastAsia"/>
          <w:b/>
          <w:bCs/>
          <w:sz w:val="22"/>
          <w:szCs w:val="28"/>
          <w:lang w:val="en-US" w:eastAsia="zh-CN"/>
        </w:rPr>
        <w:t>3</w:t>
      </w:r>
      <w:r>
        <w:rPr>
          <w:rFonts w:hint="eastAsia"/>
          <w:b/>
          <w:bCs/>
          <w:sz w:val="22"/>
          <w:szCs w:val="28"/>
        </w:rPr>
        <w:t>各岗位人员职责</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.1积极参加本岗位风险点的识别，并参加本岗位风险点的风险评价。</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2积极开展本岗位隐患排查，发现异常情况应及时处理并报告。</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3学习并掌握本岗位涉及的风险分布情况、风险后果、可能存在的隐患及典型管控措施等相关知识和应急救援知识。</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.4掌握本岗位4级以上(蓝色级、黄色级、橙色级和红色级)风险分布情况、可能后果、典型控制措施及可能存在的隐患。</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.5 学习、掌握相关安全知识，增强自我保护能力，做到“四不伤害”。</w:t>
      </w:r>
    </w:p>
    <w:p>
      <w:pPr>
        <w:spacing w:line="480" w:lineRule="auto"/>
        <w:rPr>
          <w:rFonts w:hint="eastAsia"/>
          <w:sz w:val="22"/>
          <w:szCs w:val="28"/>
        </w:rPr>
      </w:pPr>
      <w:r>
        <w:rPr>
          <w:rFonts w:hint="eastAsia"/>
          <w:sz w:val="22"/>
          <w:szCs w:val="28"/>
        </w:rPr>
        <w:t>4.</w:t>
      </w:r>
      <w:r>
        <w:rPr>
          <w:rFonts w:hint="eastAsia"/>
          <w:sz w:val="22"/>
          <w:szCs w:val="28"/>
          <w:lang w:val="en-US" w:eastAsia="zh-CN"/>
        </w:rPr>
        <w:t>3</w:t>
      </w:r>
      <w:r>
        <w:rPr>
          <w:rFonts w:hint="eastAsia"/>
          <w:sz w:val="22"/>
          <w:szCs w:val="28"/>
        </w:rPr>
        <w:t>.6正确分析、判断和处理各种事故苗头，把事故消灭在萌芽状态。</w:t>
      </w:r>
    </w:p>
    <w:p>
      <w:pPr>
        <w:spacing w:line="480" w:lineRule="auto"/>
        <w:rPr>
          <w:rFonts w:hint="eastAsia"/>
          <w:b/>
          <w:bCs/>
          <w:sz w:val="22"/>
          <w:szCs w:val="28"/>
        </w:rPr>
      </w:pPr>
      <w:r>
        <w:rPr>
          <w:rFonts w:hint="eastAsia"/>
          <w:b/>
          <w:bCs/>
          <w:sz w:val="22"/>
          <w:szCs w:val="28"/>
        </w:rPr>
        <w:t>5.考核</w:t>
      </w:r>
    </w:p>
    <w:p>
      <w:pPr>
        <w:spacing w:line="480" w:lineRule="auto"/>
        <w:rPr>
          <w:rFonts w:hint="eastAsia"/>
          <w:sz w:val="22"/>
          <w:szCs w:val="28"/>
        </w:rPr>
      </w:pPr>
      <w:r>
        <w:rPr>
          <w:rFonts w:hint="eastAsia"/>
          <w:sz w:val="22"/>
          <w:szCs w:val="28"/>
        </w:rPr>
        <w:t>公司安全生产领导小组依据《双重预防机制建设及持续改进考核实施办法》，定期对各</w:t>
      </w:r>
      <w:r>
        <w:rPr>
          <w:rFonts w:hint="eastAsia"/>
          <w:sz w:val="22"/>
          <w:szCs w:val="28"/>
          <w:lang w:eastAsia="zh-CN"/>
        </w:rPr>
        <w:t>门站人员</w:t>
      </w:r>
      <w:r>
        <w:rPr>
          <w:rFonts w:hint="eastAsia"/>
          <w:sz w:val="22"/>
          <w:szCs w:val="28"/>
        </w:rPr>
        <w:t>及</w:t>
      </w:r>
      <w:r>
        <w:rPr>
          <w:rFonts w:hint="eastAsia"/>
          <w:sz w:val="22"/>
          <w:szCs w:val="28"/>
          <w:lang w:eastAsia="zh-CN"/>
        </w:rPr>
        <w:t>办公室</w:t>
      </w:r>
      <w:r>
        <w:rPr>
          <w:rFonts w:hint="eastAsia"/>
          <w:sz w:val="22"/>
          <w:szCs w:val="28"/>
        </w:rPr>
        <w:t>人员责任制落实情况进行考核。</w:t>
      </w:r>
    </w:p>
    <w:p>
      <w:pPr>
        <w:spacing w:line="480" w:lineRule="auto"/>
        <w:jc w:val="center"/>
        <w:rPr>
          <w:rFonts w:hint="eastAsia"/>
          <w:b/>
          <w:bCs/>
          <w:sz w:val="56"/>
          <w:szCs w:val="96"/>
          <w:lang w:eastAsia="zh-CN"/>
        </w:rPr>
      </w:pPr>
      <w:r>
        <w:rPr>
          <w:rFonts w:hint="eastAsia"/>
          <w:b/>
          <w:bCs/>
          <w:sz w:val="56"/>
          <w:szCs w:val="96"/>
          <w:lang w:eastAsia="zh-CN"/>
        </w:rPr>
        <w:t>四川省远宏利民天然气有限公司</w:t>
      </w:r>
    </w:p>
    <w:p>
      <w:pPr>
        <w:spacing w:line="480" w:lineRule="auto"/>
        <w:jc w:val="center"/>
        <w:rPr>
          <w:rFonts w:hint="eastAsia"/>
          <w:sz w:val="28"/>
          <w:szCs w:val="36"/>
          <w:lang w:eastAsia="zh-CN"/>
        </w:rPr>
      </w:pP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重</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大</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危</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险</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源</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制</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度</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和</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双</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重</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预</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防</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工</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作</w:t>
      </w:r>
    </w:p>
    <w:p>
      <w:pPr>
        <w:spacing w:line="240" w:lineRule="auto"/>
        <w:jc w:val="center"/>
        <w:rPr>
          <w:rFonts w:hint="eastAsia" w:ascii="黑体" w:hAnsi="黑体" w:eastAsia="黑体" w:cs="黑体"/>
          <w:sz w:val="36"/>
          <w:szCs w:val="44"/>
          <w:lang w:eastAsia="zh-CN"/>
        </w:rPr>
      </w:pPr>
      <w:r>
        <w:rPr>
          <w:rFonts w:hint="eastAsia" w:ascii="黑体" w:hAnsi="黑体" w:eastAsia="黑体" w:cs="黑体"/>
          <w:sz w:val="36"/>
          <w:szCs w:val="44"/>
          <w:lang w:eastAsia="zh-CN"/>
        </w:rPr>
        <w:t>机</w:t>
      </w:r>
    </w:p>
    <w:p>
      <w:pPr>
        <w:spacing w:line="240" w:lineRule="auto"/>
        <w:jc w:val="center"/>
        <w:rPr>
          <w:rFonts w:hint="eastAsia"/>
          <w:sz w:val="28"/>
          <w:szCs w:val="36"/>
          <w:lang w:eastAsia="zh-CN"/>
        </w:rPr>
      </w:pPr>
      <w:r>
        <w:rPr>
          <w:rFonts w:hint="eastAsia" w:ascii="黑体" w:hAnsi="黑体" w:eastAsia="黑体" w:cs="黑体"/>
          <w:sz w:val="36"/>
          <w:szCs w:val="44"/>
          <w:lang w:eastAsia="zh-CN"/>
        </w:rPr>
        <w:t>制</w:t>
      </w:r>
    </w:p>
    <w:p>
      <w:pPr>
        <w:spacing w:line="240" w:lineRule="auto"/>
        <w:jc w:val="center"/>
        <w:rPr>
          <w:rFonts w:hint="eastAsia"/>
          <w:sz w:val="28"/>
          <w:szCs w:val="36"/>
          <w:lang w:eastAsia="zh-CN"/>
        </w:rPr>
      </w:pPr>
    </w:p>
    <w:p>
      <w:pPr>
        <w:spacing w:line="480" w:lineRule="auto"/>
        <w:jc w:val="center"/>
        <w:rPr>
          <w:rFonts w:hint="eastAsia"/>
          <w:sz w:val="28"/>
          <w:szCs w:val="36"/>
          <w:lang w:eastAsia="zh-CN"/>
        </w:rPr>
      </w:pPr>
    </w:p>
    <w:p>
      <w:pPr>
        <w:spacing w:line="480" w:lineRule="auto"/>
        <w:jc w:val="both"/>
        <w:rPr>
          <w:rFonts w:hint="eastAsia"/>
          <w:sz w:val="28"/>
          <w:szCs w:val="36"/>
          <w:lang w:val="en-US" w:eastAsia="zh-CN"/>
        </w:rPr>
      </w:pPr>
    </w:p>
    <w:p>
      <w:pPr>
        <w:spacing w:line="480" w:lineRule="auto"/>
        <w:jc w:val="right"/>
        <w:rPr>
          <w:rFonts w:hint="default"/>
          <w:sz w:val="28"/>
          <w:szCs w:val="36"/>
          <w:lang w:val="en-US" w:eastAsia="zh-CN"/>
        </w:rPr>
      </w:pPr>
      <w:bookmarkStart w:id="0" w:name="_GoBack"/>
      <w:bookmarkEnd w:id="0"/>
      <w:r>
        <w:rPr>
          <w:rFonts w:hint="eastAsia"/>
          <w:sz w:val="28"/>
          <w:szCs w:val="36"/>
          <w:lang w:val="en-US" w:eastAsia="zh-CN"/>
        </w:rPr>
        <w:t>2022年1月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mQ5ZTJlNTRmY2Q3YjI2OGZkNjhmZDg2NmUxZGIifQ=="/>
  </w:docVars>
  <w:rsids>
    <w:rsidRoot w:val="00000000"/>
    <w:rsid w:val="1DD7388B"/>
    <w:rsid w:val="3D451E63"/>
    <w:rsid w:val="48E109F8"/>
    <w:rsid w:val="5968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2401</Words>
  <Characters>2570</Characters>
  <Lines>0</Lines>
  <Paragraphs>0</Paragraphs>
  <TotalTime>77</TotalTime>
  <ScaleCrop>false</ScaleCrop>
  <LinksUpToDate>false</LinksUpToDate>
  <CharactersWithSpaces>2593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十有八九</cp:lastModifiedBy>
  <cp:lastPrinted>2022-06-21T08:39:41Z</cp:lastPrinted>
  <dcterms:modified xsi:type="dcterms:W3CDTF">2022-06-21T08:41:32Z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A27E18FED5FB449F9DB40B408F76DD24</vt:lpwstr>
  </property>
</Properties>
</file>