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20" w:line="360" w:lineRule="auto"/>
        <w:jc w:val="center"/>
        <w:textAlignment w:val="auto"/>
        <w:rPr>
          <w:rFonts w:hint="eastAsia" w:eastAsia="黑体"/>
          <w:bCs w:val="0"/>
          <w:color w:val="000000"/>
          <w:sz w:val="30"/>
          <w:szCs w:val="30"/>
          <w:lang w:val="zh-CN"/>
        </w:rPr>
      </w:pPr>
      <w:bookmarkStart w:id="0" w:name="_Toc468097366"/>
      <w:bookmarkStart w:id="1" w:name="_Toc373865688"/>
      <w:bookmarkStart w:id="2" w:name="_Toc360566484"/>
      <w:bookmarkStart w:id="3" w:name="_Toc342341605"/>
      <w:r>
        <w:rPr>
          <w:rFonts w:hint="eastAsia" w:eastAsia="黑体"/>
          <w:bCs w:val="0"/>
          <w:color w:val="000000"/>
          <w:sz w:val="30"/>
          <w:szCs w:val="30"/>
          <w:lang w:val="zh-CN"/>
        </w:rPr>
        <w:t>四川省阆中光明玻璃制品有限公司</w:t>
      </w:r>
    </w:p>
    <w:p>
      <w:pPr>
        <w:pStyle w:val="2"/>
        <w:keepNext/>
        <w:keepLines/>
        <w:pageBreakBefore w:val="0"/>
        <w:widowControl w:val="0"/>
        <w:kinsoku/>
        <w:wordWrap/>
        <w:overflowPunct/>
        <w:topLinePunct w:val="0"/>
        <w:autoSpaceDE/>
        <w:autoSpaceDN/>
        <w:bidi w:val="0"/>
        <w:adjustRightInd/>
        <w:snapToGrid/>
        <w:spacing w:before="0" w:after="20" w:line="360" w:lineRule="auto"/>
        <w:jc w:val="center"/>
        <w:textAlignment w:val="auto"/>
        <w:rPr>
          <w:rFonts w:hint="eastAsia" w:eastAsia="黑体"/>
          <w:bCs w:val="0"/>
          <w:color w:val="000000"/>
          <w:sz w:val="30"/>
          <w:szCs w:val="30"/>
          <w:lang w:val="zh-CN"/>
        </w:rPr>
      </w:pPr>
      <w:r>
        <w:rPr>
          <w:rFonts w:hint="eastAsia" w:eastAsia="黑体"/>
          <w:bCs w:val="0"/>
          <w:color w:val="000000"/>
          <w:sz w:val="30"/>
          <w:szCs w:val="30"/>
          <w:lang w:val="zh-CN"/>
        </w:rPr>
        <w:t>特种作业人员安全作业</w:t>
      </w:r>
      <w:bookmarkStart w:id="16" w:name="_GoBack"/>
      <w:bookmarkEnd w:id="16"/>
      <w:r>
        <w:rPr>
          <w:rFonts w:hint="eastAsia" w:eastAsia="黑体"/>
          <w:bCs w:val="0"/>
          <w:color w:val="000000"/>
          <w:sz w:val="30"/>
          <w:szCs w:val="30"/>
          <w:lang w:val="zh-CN"/>
        </w:rPr>
        <w:t>管理制度</w:t>
      </w:r>
      <w:bookmarkEnd w:id="0"/>
      <w:bookmarkEnd w:id="1"/>
      <w:bookmarkEnd w:id="2"/>
      <w:bookmarkEnd w:id="3"/>
    </w:p>
    <w:p>
      <w:pPr>
        <w:spacing w:line="360" w:lineRule="auto"/>
        <w:ind w:firstLine="480" w:firstLineChars="200"/>
        <w:rPr>
          <w:rFonts w:hint="eastAsia"/>
          <w:sz w:val="24"/>
        </w:rPr>
      </w:pPr>
      <w:bookmarkStart w:id="4" w:name="_Toc360566485"/>
      <w:bookmarkStart w:id="5" w:name="_Toc373865689"/>
      <w:bookmarkStart w:id="6" w:name="_Toc342341606"/>
    </w:p>
    <w:p>
      <w:pPr>
        <w:spacing w:line="360" w:lineRule="auto"/>
        <w:ind w:firstLine="560" w:firstLineChars="200"/>
        <w:rPr>
          <w:rFonts w:hint="eastAsia"/>
          <w:sz w:val="28"/>
          <w:szCs w:val="21"/>
        </w:rPr>
      </w:pPr>
      <w:r>
        <w:rPr>
          <w:rFonts w:hint="eastAsia"/>
          <w:sz w:val="28"/>
          <w:szCs w:val="21"/>
        </w:rPr>
        <w:t>1、目的和范围</w:t>
      </w:r>
      <w:bookmarkEnd w:id="4"/>
      <w:bookmarkEnd w:id="5"/>
      <w:bookmarkEnd w:id="6"/>
    </w:p>
    <w:p>
      <w:pPr>
        <w:spacing w:line="360" w:lineRule="auto"/>
        <w:ind w:firstLine="560" w:firstLineChars="200"/>
        <w:rPr>
          <w:rFonts w:hint="eastAsia"/>
          <w:sz w:val="28"/>
          <w:szCs w:val="21"/>
        </w:rPr>
      </w:pPr>
      <w:r>
        <w:rPr>
          <w:sz w:val="28"/>
          <w:szCs w:val="21"/>
        </w:rPr>
        <w:t>为加强特种作业人员的管理工作，提高特种作业人员的安全素质，防止伤亡事故，促进安全生产，根据安全生产法、生产经营单位安全培训规定、安全生产培训管理办法、特种作业人员安全技术考核办法、特种设备作业人员监督管理办法等国家法律法规和规章，制定本制度。</w:t>
      </w:r>
    </w:p>
    <w:p>
      <w:pPr>
        <w:spacing w:line="360" w:lineRule="auto"/>
        <w:ind w:firstLine="560" w:firstLineChars="200"/>
        <w:rPr>
          <w:rFonts w:hint="eastAsia"/>
          <w:sz w:val="28"/>
          <w:szCs w:val="21"/>
        </w:rPr>
      </w:pPr>
      <w:bookmarkStart w:id="7" w:name="_Toc342341607"/>
      <w:bookmarkStart w:id="8" w:name="_Toc373865690"/>
      <w:bookmarkStart w:id="9" w:name="_Toc360566486"/>
      <w:r>
        <w:rPr>
          <w:rFonts w:hint="eastAsia"/>
          <w:sz w:val="28"/>
          <w:szCs w:val="21"/>
        </w:rPr>
        <w:t>2、范围</w:t>
      </w:r>
      <w:bookmarkEnd w:id="7"/>
      <w:bookmarkEnd w:id="8"/>
      <w:bookmarkEnd w:id="9"/>
      <w:r>
        <w:rPr>
          <w:sz w:val="28"/>
          <w:szCs w:val="21"/>
        </w:rPr>
        <w:tab/>
      </w:r>
    </w:p>
    <w:p>
      <w:pPr>
        <w:spacing w:line="360" w:lineRule="auto"/>
        <w:ind w:firstLine="560" w:firstLineChars="200"/>
        <w:rPr>
          <w:rFonts w:hint="eastAsia"/>
          <w:sz w:val="28"/>
          <w:szCs w:val="21"/>
        </w:rPr>
      </w:pPr>
      <w:r>
        <w:rPr>
          <w:rFonts w:hint="eastAsia"/>
          <w:sz w:val="28"/>
          <w:szCs w:val="21"/>
        </w:rPr>
        <w:t>公司</w:t>
      </w:r>
      <w:r>
        <w:rPr>
          <w:sz w:val="28"/>
          <w:szCs w:val="21"/>
        </w:rPr>
        <w:t>现有特种作业人员的作业</w:t>
      </w:r>
      <w:r>
        <w:rPr>
          <w:rFonts w:hint="eastAsia"/>
          <w:sz w:val="28"/>
          <w:szCs w:val="21"/>
        </w:rPr>
        <w:t>主要有</w:t>
      </w:r>
      <w:r>
        <w:rPr>
          <w:rFonts w:hint="eastAsia"/>
          <w:sz w:val="28"/>
          <w:szCs w:val="21"/>
          <w:lang w:eastAsia="zh-CN"/>
        </w:rPr>
        <w:t>压缩机</w:t>
      </w:r>
      <w:r>
        <w:rPr>
          <w:rFonts w:hint="eastAsia"/>
          <w:sz w:val="28"/>
          <w:szCs w:val="21"/>
        </w:rPr>
        <w:t>操作工、</w:t>
      </w:r>
      <w:r>
        <w:rPr>
          <w:sz w:val="28"/>
          <w:szCs w:val="21"/>
        </w:rPr>
        <w:t>电工</w:t>
      </w:r>
      <w:r>
        <w:rPr>
          <w:rFonts w:hint="eastAsia"/>
          <w:sz w:val="28"/>
          <w:szCs w:val="21"/>
        </w:rPr>
        <w:t>。</w:t>
      </w:r>
    </w:p>
    <w:p>
      <w:pPr>
        <w:spacing w:line="360" w:lineRule="auto"/>
        <w:ind w:firstLine="560" w:firstLineChars="200"/>
        <w:rPr>
          <w:rFonts w:hint="eastAsia"/>
          <w:sz w:val="28"/>
          <w:szCs w:val="21"/>
        </w:rPr>
      </w:pPr>
      <w:bookmarkStart w:id="10" w:name="_Toc342341608"/>
      <w:bookmarkStart w:id="11" w:name="_Toc360566487"/>
      <w:bookmarkStart w:id="12" w:name="_Toc373865691"/>
      <w:r>
        <w:rPr>
          <w:rFonts w:hint="eastAsia"/>
          <w:sz w:val="28"/>
          <w:szCs w:val="21"/>
        </w:rPr>
        <w:t>3、职责</w:t>
      </w:r>
      <w:bookmarkEnd w:id="10"/>
      <w:bookmarkEnd w:id="11"/>
      <w:bookmarkEnd w:id="12"/>
    </w:p>
    <w:p>
      <w:pPr>
        <w:spacing w:line="360" w:lineRule="auto"/>
        <w:ind w:firstLine="560" w:firstLineChars="200"/>
        <w:rPr>
          <w:rFonts w:hint="eastAsia"/>
          <w:sz w:val="28"/>
          <w:szCs w:val="21"/>
        </w:rPr>
      </w:pPr>
      <w:r>
        <w:rPr>
          <w:rFonts w:hint="eastAsia"/>
          <w:sz w:val="28"/>
          <w:szCs w:val="21"/>
        </w:rPr>
        <w:t>3.1</w:t>
      </w:r>
      <w:r>
        <w:rPr>
          <w:rFonts w:hint="eastAsia"/>
          <w:sz w:val="28"/>
          <w:szCs w:val="21"/>
          <w:lang w:eastAsia="zh-CN"/>
        </w:rPr>
        <w:t>行政部</w:t>
      </w:r>
      <w:r>
        <w:rPr>
          <w:rFonts w:hint="eastAsia"/>
          <w:sz w:val="28"/>
          <w:szCs w:val="21"/>
        </w:rPr>
        <w:t>、安全部</w:t>
      </w:r>
      <w:r>
        <w:rPr>
          <w:sz w:val="28"/>
          <w:szCs w:val="21"/>
        </w:rPr>
        <w:t>负责特种作业人员的安全培训、取证、复审工作的组织和联系，负责特种作业人员的调配及安全培训取证的监督协助。</w:t>
      </w:r>
    </w:p>
    <w:p>
      <w:pPr>
        <w:spacing w:line="360" w:lineRule="auto"/>
        <w:ind w:firstLine="560" w:firstLineChars="200"/>
        <w:rPr>
          <w:rFonts w:hint="eastAsia"/>
          <w:sz w:val="28"/>
          <w:szCs w:val="21"/>
        </w:rPr>
      </w:pPr>
      <w:r>
        <w:rPr>
          <w:rFonts w:hint="eastAsia"/>
          <w:sz w:val="28"/>
          <w:szCs w:val="21"/>
        </w:rPr>
        <w:t>3.2</w:t>
      </w:r>
      <w:r>
        <w:rPr>
          <w:sz w:val="28"/>
          <w:szCs w:val="21"/>
        </w:rPr>
        <w:t>各单位应定期识别特种作业人员培训需求，制定培训计划，并每半年报</w:t>
      </w:r>
      <w:r>
        <w:rPr>
          <w:rFonts w:hint="eastAsia"/>
          <w:sz w:val="28"/>
          <w:szCs w:val="21"/>
          <w:lang w:eastAsia="zh-CN"/>
        </w:rPr>
        <w:t>行政部</w:t>
      </w:r>
      <w:r>
        <w:rPr>
          <w:sz w:val="28"/>
          <w:szCs w:val="21"/>
        </w:rPr>
        <w:t>，由</w:t>
      </w:r>
      <w:r>
        <w:rPr>
          <w:rFonts w:hint="eastAsia"/>
          <w:sz w:val="28"/>
          <w:szCs w:val="21"/>
          <w:lang w:eastAsia="zh-CN"/>
        </w:rPr>
        <w:t>行政部</w:t>
      </w:r>
      <w:r>
        <w:rPr>
          <w:sz w:val="28"/>
          <w:szCs w:val="21"/>
        </w:rPr>
        <w:t>汇总制定</w:t>
      </w:r>
      <w:r>
        <w:rPr>
          <w:rFonts w:hint="eastAsia"/>
          <w:sz w:val="28"/>
          <w:szCs w:val="21"/>
        </w:rPr>
        <w:t>公司</w:t>
      </w:r>
      <w:r>
        <w:rPr>
          <w:sz w:val="28"/>
          <w:szCs w:val="21"/>
        </w:rPr>
        <w:t>培训计划并组织实施，实施结束后进行培训效果评价。</w:t>
      </w:r>
    </w:p>
    <w:p>
      <w:pPr>
        <w:spacing w:line="360" w:lineRule="auto"/>
        <w:ind w:firstLine="560" w:firstLineChars="200"/>
        <w:rPr>
          <w:rFonts w:hint="eastAsia"/>
          <w:sz w:val="28"/>
          <w:szCs w:val="21"/>
        </w:rPr>
      </w:pPr>
      <w:bookmarkStart w:id="13" w:name="_Toc373865692"/>
      <w:bookmarkStart w:id="14" w:name="_Toc360566488"/>
      <w:bookmarkStart w:id="15" w:name="_Toc342341609"/>
      <w:r>
        <w:rPr>
          <w:rFonts w:hint="eastAsia"/>
          <w:sz w:val="28"/>
          <w:szCs w:val="21"/>
        </w:rPr>
        <w:t>4、具体要求</w:t>
      </w:r>
      <w:bookmarkEnd w:id="13"/>
      <w:bookmarkEnd w:id="14"/>
      <w:bookmarkEnd w:id="15"/>
    </w:p>
    <w:p>
      <w:pPr>
        <w:spacing w:line="360" w:lineRule="auto"/>
        <w:ind w:firstLine="560" w:firstLineChars="200"/>
        <w:rPr>
          <w:rFonts w:hint="eastAsia"/>
          <w:sz w:val="28"/>
          <w:szCs w:val="21"/>
        </w:rPr>
      </w:pPr>
      <w:r>
        <w:rPr>
          <w:rFonts w:hint="eastAsia"/>
          <w:sz w:val="28"/>
          <w:szCs w:val="21"/>
        </w:rPr>
        <w:t>4.1</w:t>
      </w:r>
      <w:r>
        <w:rPr>
          <w:sz w:val="28"/>
          <w:szCs w:val="21"/>
        </w:rPr>
        <w:t>特种作业人员应具备与本种作业相应的身体条件和相应的文化程度，并且经</w:t>
      </w:r>
      <w:r>
        <w:rPr>
          <w:rFonts w:hint="eastAsia"/>
          <w:sz w:val="28"/>
          <w:szCs w:val="21"/>
        </w:rPr>
        <w:t>南充</w:t>
      </w:r>
      <w:r>
        <w:rPr>
          <w:sz w:val="28"/>
          <w:szCs w:val="21"/>
        </w:rPr>
        <w:t xml:space="preserve">市安全生产监督管理局（特种设备作业人员经市质量技术监督局）考核合格，取得“特种作业操作资格证”，方可独立作业。 </w:t>
      </w:r>
    </w:p>
    <w:p>
      <w:pPr>
        <w:spacing w:line="360" w:lineRule="auto"/>
        <w:ind w:firstLine="560" w:firstLineChars="200"/>
        <w:rPr>
          <w:rFonts w:hint="eastAsia"/>
          <w:sz w:val="28"/>
          <w:szCs w:val="21"/>
        </w:rPr>
      </w:pPr>
      <w:r>
        <w:rPr>
          <w:rFonts w:hint="eastAsia"/>
          <w:sz w:val="28"/>
          <w:szCs w:val="21"/>
        </w:rPr>
        <w:t>4.2</w:t>
      </w:r>
      <w:r>
        <w:rPr>
          <w:sz w:val="28"/>
          <w:szCs w:val="21"/>
        </w:rPr>
        <w:t xml:space="preserve"> 特种作业人员的培训（复训）考核，</w:t>
      </w:r>
      <w:r>
        <w:rPr>
          <w:rFonts w:hint="eastAsia"/>
          <w:sz w:val="28"/>
          <w:szCs w:val="21"/>
        </w:rPr>
        <w:t>由安全部负责联系办理</w:t>
      </w:r>
      <w:r>
        <w:rPr>
          <w:sz w:val="28"/>
          <w:szCs w:val="21"/>
        </w:rPr>
        <w:t xml:space="preserve">，考核不合格者可进行补考1次，补考费用自理，补考仍不合格者，下岗处理。 </w:t>
      </w:r>
    </w:p>
    <w:p>
      <w:pPr>
        <w:spacing w:line="360" w:lineRule="auto"/>
        <w:ind w:firstLine="560" w:firstLineChars="200"/>
        <w:rPr>
          <w:rFonts w:hint="eastAsia"/>
          <w:sz w:val="28"/>
          <w:szCs w:val="21"/>
        </w:rPr>
      </w:pPr>
      <w:r>
        <w:rPr>
          <w:rFonts w:hint="eastAsia"/>
          <w:sz w:val="28"/>
          <w:szCs w:val="21"/>
        </w:rPr>
        <w:t>4.3</w:t>
      </w:r>
      <w:r>
        <w:rPr>
          <w:sz w:val="28"/>
          <w:szCs w:val="21"/>
        </w:rPr>
        <w:t xml:space="preserve"> 取得“特种作业操作资格证”的特种作业人员，必须按国家规定的期限进行复审，复审不合格或未复审的，由市安监局或质监局吊销其“特种作业操作证”，不得继续独立从事特种作业。 </w:t>
      </w:r>
    </w:p>
    <w:p>
      <w:pPr>
        <w:spacing w:line="360" w:lineRule="auto"/>
        <w:ind w:firstLine="560" w:firstLineChars="200"/>
        <w:rPr>
          <w:rFonts w:hint="eastAsia"/>
          <w:sz w:val="28"/>
          <w:szCs w:val="21"/>
        </w:rPr>
      </w:pPr>
      <w:r>
        <w:rPr>
          <w:rFonts w:hint="eastAsia"/>
          <w:sz w:val="28"/>
          <w:szCs w:val="21"/>
        </w:rPr>
        <w:t>4.4</w:t>
      </w:r>
      <w:r>
        <w:rPr>
          <w:sz w:val="28"/>
          <w:szCs w:val="21"/>
        </w:rPr>
        <w:t xml:space="preserve"> 特种作业人员必须在“特种作业操作资格证”规定的本工种作业范围内从事独立作业，并随身携带其</w:t>
      </w:r>
      <w:r>
        <w:rPr>
          <w:rFonts w:hint="eastAsia"/>
          <w:sz w:val="28"/>
          <w:szCs w:val="21"/>
        </w:rPr>
        <w:t>证件</w:t>
      </w:r>
      <w:r>
        <w:rPr>
          <w:sz w:val="28"/>
          <w:szCs w:val="21"/>
        </w:rPr>
        <w:t xml:space="preserve">，接受上级部门和企业安全生产管理人员的监督检查。 </w:t>
      </w:r>
    </w:p>
    <w:p>
      <w:pPr>
        <w:spacing w:line="360" w:lineRule="auto"/>
        <w:ind w:firstLine="560" w:firstLineChars="200"/>
        <w:rPr>
          <w:rFonts w:hint="eastAsia"/>
          <w:sz w:val="28"/>
          <w:szCs w:val="21"/>
        </w:rPr>
      </w:pPr>
      <w:r>
        <w:rPr>
          <w:rFonts w:hint="eastAsia"/>
          <w:sz w:val="28"/>
          <w:szCs w:val="21"/>
        </w:rPr>
        <w:t>4.5</w:t>
      </w:r>
      <w:r>
        <w:rPr>
          <w:sz w:val="28"/>
          <w:szCs w:val="21"/>
        </w:rPr>
        <w:t xml:space="preserve"> 每年由</w:t>
      </w:r>
      <w:r>
        <w:rPr>
          <w:rFonts w:hint="eastAsia"/>
          <w:sz w:val="28"/>
          <w:szCs w:val="21"/>
        </w:rPr>
        <w:t>安全部</w:t>
      </w:r>
      <w:r>
        <w:rPr>
          <w:sz w:val="28"/>
          <w:szCs w:val="21"/>
        </w:rPr>
        <w:t>组织，各</w:t>
      </w:r>
      <w:r>
        <w:rPr>
          <w:rFonts w:hint="eastAsia"/>
          <w:sz w:val="28"/>
          <w:szCs w:val="21"/>
        </w:rPr>
        <w:t>部门</w:t>
      </w:r>
      <w:r>
        <w:rPr>
          <w:sz w:val="28"/>
          <w:szCs w:val="21"/>
        </w:rPr>
        <w:t>结合本</w:t>
      </w:r>
      <w:r>
        <w:rPr>
          <w:rFonts w:hint="eastAsia"/>
          <w:sz w:val="28"/>
          <w:szCs w:val="21"/>
        </w:rPr>
        <w:t>部门</w:t>
      </w:r>
      <w:r>
        <w:rPr>
          <w:sz w:val="28"/>
          <w:szCs w:val="21"/>
        </w:rPr>
        <w:t>实际对特种作业人员进行安全知识、操作技能和应急能力培训、考核，及时进行知识更新，考核情况记入</w:t>
      </w:r>
      <w:r>
        <w:rPr>
          <w:rFonts w:hint="eastAsia"/>
          <w:sz w:val="28"/>
          <w:szCs w:val="21"/>
        </w:rPr>
        <w:t>公司</w:t>
      </w:r>
      <w:r>
        <w:rPr>
          <w:sz w:val="28"/>
          <w:szCs w:val="21"/>
        </w:rPr>
        <w:t>内部发的《安全技术操作证》。</w:t>
      </w:r>
    </w:p>
    <w:p>
      <w:pPr>
        <w:spacing w:line="360" w:lineRule="auto"/>
        <w:ind w:firstLine="560" w:firstLineChars="200"/>
        <w:rPr>
          <w:rFonts w:hint="eastAsia"/>
          <w:sz w:val="28"/>
          <w:szCs w:val="21"/>
        </w:rPr>
      </w:pPr>
      <w:r>
        <w:rPr>
          <w:rFonts w:hint="eastAsia"/>
          <w:sz w:val="28"/>
          <w:szCs w:val="21"/>
        </w:rPr>
        <w:t>4.6</w:t>
      </w:r>
      <w:r>
        <w:rPr>
          <w:sz w:val="28"/>
          <w:szCs w:val="21"/>
        </w:rPr>
        <w:t xml:space="preserve"> 特种作业人员要保持相对稳定，不准随便调离，如需要调离，应严格执行</w:t>
      </w:r>
      <w:r>
        <w:rPr>
          <w:rFonts w:hint="eastAsia"/>
          <w:sz w:val="28"/>
          <w:szCs w:val="21"/>
        </w:rPr>
        <w:t>公司</w:t>
      </w:r>
      <w:r>
        <w:rPr>
          <w:sz w:val="28"/>
          <w:szCs w:val="21"/>
        </w:rPr>
        <w:t>《变更管理制度》，经</w:t>
      </w:r>
      <w:r>
        <w:rPr>
          <w:rFonts w:hint="eastAsia"/>
          <w:sz w:val="28"/>
          <w:szCs w:val="21"/>
        </w:rPr>
        <w:t>公司</w:t>
      </w:r>
      <w:r>
        <w:rPr>
          <w:sz w:val="28"/>
          <w:szCs w:val="21"/>
        </w:rPr>
        <w:t>主管厂领导同意。</w:t>
      </w:r>
    </w:p>
    <w:p>
      <w:pPr>
        <w:spacing w:line="360" w:lineRule="auto"/>
        <w:ind w:firstLine="560" w:firstLineChars="200"/>
        <w:rPr>
          <w:rFonts w:hint="eastAsia"/>
          <w:sz w:val="28"/>
          <w:szCs w:val="21"/>
        </w:rPr>
      </w:pPr>
      <w:r>
        <w:rPr>
          <w:rFonts w:hint="eastAsia"/>
          <w:sz w:val="28"/>
          <w:szCs w:val="21"/>
        </w:rPr>
        <w:t>4.7</w:t>
      </w:r>
      <w:r>
        <w:rPr>
          <w:sz w:val="28"/>
          <w:szCs w:val="21"/>
        </w:rPr>
        <w:t xml:space="preserve"> 对违章作业或管理者，按</w:t>
      </w:r>
      <w:r>
        <w:rPr>
          <w:rFonts w:hint="eastAsia"/>
          <w:sz w:val="28"/>
          <w:szCs w:val="21"/>
        </w:rPr>
        <w:t>公司</w:t>
      </w:r>
      <w:r>
        <w:rPr>
          <w:sz w:val="28"/>
          <w:szCs w:val="21"/>
        </w:rPr>
        <w:t>《安全生产奖励制度》等相关规定进行处罚，并记入“特种作业操作资格证”内；对以下情况，由发证部门吊销“特种作业操作资格证”，并追究责任。</w:t>
      </w:r>
    </w:p>
    <w:p>
      <w:pPr>
        <w:spacing w:line="360" w:lineRule="auto"/>
        <w:ind w:firstLine="560" w:firstLineChars="200"/>
        <w:rPr>
          <w:rFonts w:hint="eastAsia"/>
          <w:sz w:val="28"/>
          <w:szCs w:val="21"/>
        </w:rPr>
      </w:pPr>
      <w:r>
        <w:rPr>
          <w:rFonts w:hint="eastAsia"/>
          <w:sz w:val="28"/>
          <w:szCs w:val="21"/>
        </w:rPr>
        <w:t>（1）</w:t>
      </w:r>
      <w:r>
        <w:rPr>
          <w:sz w:val="28"/>
          <w:szCs w:val="21"/>
        </w:rPr>
        <w:t>持证作业人员以考试作弊或者以其他欺骗方式取得“特种作业操作资格证”的；</w:t>
      </w:r>
    </w:p>
    <w:p>
      <w:pPr>
        <w:spacing w:line="360" w:lineRule="auto"/>
        <w:ind w:firstLine="560" w:firstLineChars="200"/>
        <w:rPr>
          <w:rFonts w:hint="eastAsia"/>
          <w:sz w:val="28"/>
          <w:szCs w:val="21"/>
        </w:rPr>
      </w:pPr>
      <w:r>
        <w:rPr>
          <w:rFonts w:hint="eastAsia"/>
          <w:sz w:val="28"/>
          <w:szCs w:val="21"/>
        </w:rPr>
        <w:t>（2）</w:t>
      </w:r>
      <w:r>
        <w:rPr>
          <w:sz w:val="28"/>
          <w:szCs w:val="21"/>
        </w:rPr>
        <w:t>持证作业人员违章操作或者管理造成事故的；</w:t>
      </w:r>
    </w:p>
    <w:p>
      <w:pPr>
        <w:spacing w:line="360" w:lineRule="auto"/>
        <w:ind w:firstLine="560" w:firstLineChars="200"/>
        <w:rPr>
          <w:rFonts w:hint="eastAsia"/>
          <w:sz w:val="28"/>
          <w:szCs w:val="21"/>
        </w:rPr>
      </w:pPr>
      <w:r>
        <w:rPr>
          <w:rFonts w:hint="eastAsia"/>
          <w:sz w:val="28"/>
          <w:szCs w:val="21"/>
        </w:rPr>
        <w:t>（3）</w:t>
      </w:r>
      <w:r>
        <w:rPr>
          <w:sz w:val="28"/>
          <w:szCs w:val="21"/>
        </w:rPr>
        <w:t>持证作业人员发现事故隐患或者其他不安全因素未立即报告造成事故的；</w:t>
      </w:r>
    </w:p>
    <w:p>
      <w:pPr>
        <w:spacing w:line="360" w:lineRule="auto"/>
        <w:ind w:firstLine="560" w:firstLineChars="200"/>
        <w:rPr>
          <w:rFonts w:hint="eastAsia"/>
          <w:sz w:val="28"/>
          <w:szCs w:val="21"/>
        </w:rPr>
      </w:pPr>
      <w:r>
        <w:rPr>
          <w:rFonts w:hint="eastAsia"/>
          <w:sz w:val="28"/>
          <w:szCs w:val="21"/>
        </w:rPr>
        <w:t>（4）</w:t>
      </w:r>
      <w:r>
        <w:rPr>
          <w:sz w:val="28"/>
          <w:szCs w:val="21"/>
        </w:rPr>
        <w:t>持证作业人员逾期不申请复审或者复审不合格且不参加考试的。</w:t>
      </w:r>
    </w:p>
    <w:p>
      <w:pPr>
        <w:rPr>
          <w:sz w:val="22"/>
          <w:szCs w:val="21"/>
        </w:rPr>
      </w:pPr>
    </w:p>
    <w:p>
      <w:pPr>
        <w:rPr>
          <w:sz w:val="22"/>
          <w:szCs w:val="21"/>
        </w:rPr>
      </w:pPr>
    </w:p>
    <w:p>
      <w:pPr>
        <w:rPr>
          <w:rFonts w:hint="eastAsia"/>
          <w:sz w:val="22"/>
          <w:szCs w:val="21"/>
          <w:lang w:val="en-US" w:eastAsia="zh-CN"/>
        </w:rPr>
      </w:pPr>
      <w:r>
        <w:rPr>
          <w:rFonts w:hint="eastAsia"/>
          <w:sz w:val="22"/>
          <w:szCs w:val="21"/>
          <w:lang w:val="en-US" w:eastAsia="zh-CN"/>
        </w:rPr>
        <w:t xml:space="preserve">                            </w:t>
      </w:r>
    </w:p>
    <w:p>
      <w:pPr>
        <w:rPr>
          <w:rFonts w:hint="default"/>
          <w:sz w:val="22"/>
          <w:szCs w:val="21"/>
          <w:lang w:val="en-US" w:eastAsia="zh-CN"/>
        </w:rPr>
      </w:pPr>
      <w:r>
        <w:rPr>
          <w:rFonts w:hint="eastAsia"/>
          <w:sz w:val="22"/>
          <w:szCs w:val="21"/>
          <w:lang w:val="en-US" w:eastAsia="zh-CN"/>
        </w:rPr>
        <w:t xml:space="preserve">                               </w:t>
      </w:r>
      <w:r>
        <w:rPr>
          <w:rFonts w:hint="eastAsia"/>
          <w:sz w:val="28"/>
          <w:szCs w:val="21"/>
          <w:lang w:val="en-US" w:eastAsia="zh-CN"/>
        </w:rPr>
        <w:t xml:space="preserve">          二O二三年元月</w:t>
      </w:r>
    </w:p>
    <w:sectPr>
      <w:pgSz w:w="11906" w:h="16838"/>
      <w:pgMar w:top="1327" w:right="1236" w:bottom="110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OTUxNmVkZDQxNzJjZjlkYjVlMGVhMzdkNjIwNGEifQ=="/>
  </w:docVars>
  <w:rsids>
    <w:rsidRoot w:val="002903F1"/>
    <w:rsid w:val="002903F1"/>
    <w:rsid w:val="717F4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eastAsia="宋体"/>
      <w:b/>
      <w:bCs/>
      <w:kern w:val="44"/>
      <w:sz w:val="44"/>
      <w:szCs w:val="4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980</Words>
  <Characters>998</Characters>
  <Lines>0</Lines>
  <Paragraphs>0</Paragraphs>
  <TotalTime>1</TotalTime>
  <ScaleCrop>false</ScaleCrop>
  <LinksUpToDate>false</LinksUpToDate>
  <CharactersWithSpaces>1078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2023-08-22T09:20:00Z</dcterms:created>
  <dc:creator>Administrator</dc:creator>
  <cp:lastModifiedBy>Administrator</cp:lastModifiedBy>
  <dcterms:modified xsi:type="dcterms:W3CDTF">2023-08-23T08:51:14Z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FF5D3FD2DE96416E85C71C7A841DE420_11</vt:lpwstr>
  </property>
</Properties>
</file>