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486" w:type="dxa"/>
        <w:jc w:val="center"/>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2"/>
        <w:gridCol w:w="953"/>
        <w:gridCol w:w="1169"/>
        <w:gridCol w:w="1011"/>
        <w:gridCol w:w="702"/>
        <w:gridCol w:w="945"/>
        <w:gridCol w:w="971"/>
        <w:gridCol w:w="3013"/>
      </w:tblGrid>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5502" w:type="dxa"/>
            <w:gridSpan w:val="6"/>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szCs w:val="21"/>
              </w:rPr>
            </w:pPr>
            <w:r>
              <w:rPr>
                <w:rFonts w:hint="eastAsia" w:ascii="等线" w:hAnsi="等线" w:cs="仿宋"/>
                <w:szCs w:val="21"/>
              </w:rPr>
              <w:t>成都万科物业服务有限公司南充分公司</w:t>
            </w:r>
            <w:r>
              <w:rPr>
                <w:rFonts w:hint="eastAsia" w:ascii="等线" w:hAnsi="等线" w:cs="仿宋"/>
                <w:szCs w:val="21"/>
                <w:lang w:val="en-US" w:eastAsia="zh-CN"/>
              </w:rPr>
              <w:t>安全生产</w:t>
            </w:r>
            <w:r>
              <w:rPr>
                <w:rFonts w:hint="eastAsia" w:ascii="等线" w:hAnsi="等线" w:cs="仿宋"/>
                <w:szCs w:val="21"/>
              </w:rPr>
              <w:t>管理制度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编号</w:t>
            </w:r>
          </w:p>
        </w:tc>
        <w:tc>
          <w:tcPr>
            <w:tcW w:w="3013" w:type="dxa"/>
            <w:tcBorders>
              <w:tl2br w:val="nil"/>
              <w:tr2bl w:val="nil"/>
            </w:tcBorders>
            <w:tcMar>
              <w:top w:w="0" w:type="dxa"/>
              <w:left w:w="108" w:type="dxa"/>
              <w:bottom w:w="0" w:type="dxa"/>
              <w:right w:w="108" w:type="dxa"/>
            </w:tcMar>
            <w:vAlign w:val="center"/>
          </w:tcPr>
          <w:p>
            <w:pPr>
              <w:pBdr>
                <w:bottom w:val="none" w:color="auto" w:sz="0" w:space="0"/>
              </w:pBdr>
              <w:spacing w:line="360" w:lineRule="auto"/>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AQSCSGGLZD-2023</w:t>
            </w:r>
            <w:r>
              <w:rPr>
                <w:rFonts w:ascii="宋体" w:hAnsi="宋体"/>
              </w:rPr>
              <w:t>-00</w:t>
            </w:r>
            <w:r>
              <w:rPr>
                <w:rFonts w:hint="eastAsia" w:ascii="宋体" w:hAnsi="宋体"/>
                <w:lang w:val="en-US" w:eastAsia="zh-CN"/>
              </w:rPr>
              <w:t>1</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722"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名称</w:t>
            </w:r>
          </w:p>
        </w:tc>
        <w:tc>
          <w:tcPr>
            <w:tcW w:w="4780" w:type="dxa"/>
            <w:gridSpan w:val="5"/>
            <w:tcBorders>
              <w:tl2br w:val="nil"/>
              <w:tr2bl w:val="nil"/>
            </w:tcBorders>
            <w:tcMar>
              <w:top w:w="0" w:type="dxa"/>
              <w:left w:w="108" w:type="dxa"/>
              <w:bottom w:w="0" w:type="dxa"/>
              <w:right w:w="108" w:type="dxa"/>
            </w:tcMar>
            <w:vAlign w:val="center"/>
          </w:tcPr>
          <w:p>
            <w:pPr>
              <w:pBdr>
                <w:bottom w:val="none" w:color="auto" w:sz="0" w:space="0"/>
              </w:pBdr>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安全生产事故管理制度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版本</w:t>
            </w:r>
          </w:p>
        </w:tc>
        <w:tc>
          <w:tcPr>
            <w:tcW w:w="3013"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rFonts w:hint="default"/>
                <w:b/>
                <w:bCs/>
                <w:lang w:val="en-US"/>
              </w:rPr>
            </w:pPr>
            <w:r>
              <w:rPr>
                <w:rFonts w:hint="eastAsia"/>
              </w:rPr>
              <w:t>A/</w:t>
            </w:r>
            <w:r>
              <w:rPr>
                <w:rFonts w:hint="eastAsia"/>
                <w:lang w:val="en-US" w:eastAsia="zh-CN"/>
              </w:rPr>
              <w:t>0  密级：内部公开</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217" w:hRule="atLeast"/>
          <w:jc w:val="center"/>
        </w:trPr>
        <w:tc>
          <w:tcPr>
            <w:tcW w:w="722"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编制</w:t>
            </w:r>
          </w:p>
        </w:tc>
        <w:tc>
          <w:tcPr>
            <w:tcW w:w="953" w:type="dxa"/>
            <w:tcBorders>
              <w:bottom w:val="single" w:color="000000" w:sz="4" w:space="0"/>
            </w:tcBorders>
            <w:tcMar>
              <w:top w:w="0" w:type="dxa"/>
              <w:left w:w="108" w:type="dxa"/>
              <w:bottom w:w="0" w:type="dxa"/>
              <w:right w:w="108" w:type="dxa"/>
            </w:tcMar>
            <w:vAlign w:val="center"/>
          </w:tcPr>
          <w:p>
            <w:pPr>
              <w:pBdr>
                <w:bottom w:val="none" w:color="auto" w:sz="0" w:space="0"/>
              </w:pBdr>
              <w:spacing w:line="360" w:lineRule="auto"/>
              <w:ind w:firstLine="105"/>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1169"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审核</w:t>
            </w:r>
          </w:p>
        </w:tc>
        <w:tc>
          <w:tcPr>
            <w:tcW w:w="1011"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rFonts w:hint="eastAsia" w:eastAsiaTheme="minorEastAsia"/>
                <w:lang w:val="en-US" w:eastAsia="zh-CN"/>
              </w:rPr>
            </w:pPr>
            <w:r>
              <w:rPr>
                <w:rFonts w:hint="eastAsia"/>
                <w:lang w:val="en-US" w:eastAsia="zh-CN"/>
              </w:rPr>
              <w:t>谌永忠</w:t>
            </w:r>
          </w:p>
        </w:tc>
        <w:tc>
          <w:tcPr>
            <w:tcW w:w="702"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批准</w:t>
            </w:r>
          </w:p>
        </w:tc>
        <w:tc>
          <w:tcPr>
            <w:tcW w:w="945" w:type="dxa"/>
            <w:tcBorders>
              <w:bottom w:val="single" w:color="000000" w:sz="4" w:space="0"/>
            </w:tcBorders>
            <w:tcMar>
              <w:top w:w="0" w:type="dxa"/>
              <w:left w:w="108" w:type="dxa"/>
              <w:bottom w:w="0" w:type="dxa"/>
              <w:right w:w="108" w:type="dxa"/>
            </w:tcMar>
            <w:vAlign w:val="center"/>
          </w:tcPr>
          <w:p>
            <w:pPr>
              <w:pBdr>
                <w:bottom w:val="none" w:color="auto" w:sz="0" w:space="0"/>
              </w:pBdr>
              <w:spacing w:line="360" w:lineRule="auto"/>
              <w:jc w:val="center"/>
            </w:pPr>
            <w:r>
              <w:rPr>
                <w:rFonts w:hint="eastAsia"/>
                <w:lang w:val="en-US" w:eastAsia="zh-CN"/>
              </w:rPr>
              <w:t>夏勇</w:t>
            </w:r>
          </w:p>
        </w:tc>
        <w:tc>
          <w:tcPr>
            <w:tcW w:w="971"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生效期</w:t>
            </w:r>
          </w:p>
        </w:tc>
        <w:tc>
          <w:tcPr>
            <w:tcW w:w="3013"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12753" w:hRule="atLeast"/>
          <w:jc w:val="center"/>
        </w:trPr>
        <w:tc>
          <w:tcPr>
            <w:tcW w:w="9486" w:type="dxa"/>
            <w:gridSpan w:val="8"/>
            <w:tcBorders>
              <w:top w:val="single" w:color="000000" w:sz="4" w:space="0"/>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成都万科物业服务有限公司南充分公司</w:t>
            </w:r>
          </w:p>
          <w:p>
            <w:pPr>
              <w:pStyle w:val="9"/>
              <w:pBdr>
                <w:bottom w:val="none" w:color="auto" w:sz="0" w:space="0"/>
              </w:pBdr>
              <w:spacing w:line="36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安全生产事故管理制度</w:t>
            </w:r>
          </w:p>
          <w:p>
            <w:pPr>
              <w:pStyle w:val="9"/>
              <w:pBdr>
                <w:bottom w:val="none" w:color="auto" w:sz="0" w:space="0"/>
              </w:pBdr>
              <w:spacing w:line="360" w:lineRule="auto"/>
              <w:jc w:val="center"/>
              <w:rPr>
                <w:rFonts w:hint="eastAsia" w:ascii="黑体" w:hAnsi="黑体" w:eastAsia="黑体" w:cs="黑体"/>
                <w:sz w:val="36"/>
                <w:szCs w:val="36"/>
                <w:lang w:val="en-US" w:eastAsia="zh-CN"/>
              </w:rPr>
            </w:pPr>
          </w:p>
          <w:p>
            <w:pPr>
              <w:pStyle w:val="9"/>
              <w:pBdr>
                <w:bottom w:val="none" w:color="auto" w:sz="0" w:space="0"/>
              </w:pBdr>
              <w:spacing w:line="360" w:lineRule="auto"/>
              <w:jc w:val="center"/>
              <w:rPr>
                <w:rFonts w:hint="eastAsia" w:ascii="黑体" w:hAnsi="黑体" w:eastAsia="黑体" w:cs="黑体"/>
                <w:sz w:val="36"/>
                <w:szCs w:val="36"/>
                <w:lang w:val="en-US" w:eastAsia="zh-CN"/>
              </w:rPr>
            </w:pPr>
          </w:p>
          <w:p>
            <w:pPr>
              <w:pStyle w:val="9"/>
              <w:pBdr>
                <w:bottom w:val="none" w:color="auto" w:sz="0" w:space="0"/>
              </w:pBdr>
              <w:spacing w:line="360" w:lineRule="auto"/>
              <w:jc w:val="center"/>
              <w:rPr>
                <w:rFonts w:hint="default" w:ascii="黑体" w:hAnsi="黑体" w:eastAsia="黑体" w:cs="黑体"/>
                <w:sz w:val="30"/>
                <w:szCs w:val="30"/>
                <w:u w:val="single"/>
                <w:lang w:val="en-US" w:eastAsia="zh-CN"/>
              </w:rPr>
            </w:pPr>
            <w:r>
              <w:rPr>
                <w:rFonts w:hint="eastAsia" w:ascii="黑体" w:hAnsi="黑体" w:eastAsia="黑体" w:cs="黑体"/>
                <w:sz w:val="30"/>
                <w:szCs w:val="30"/>
                <w:lang w:val="en-US" w:eastAsia="zh-CN"/>
              </w:rPr>
              <w:t>编制：</w:t>
            </w:r>
            <w:r>
              <w:rPr>
                <w:rFonts w:hint="eastAsia" w:ascii="黑体" w:hAnsi="黑体" w:eastAsia="黑体" w:cs="黑体"/>
                <w:sz w:val="30"/>
                <w:szCs w:val="30"/>
                <w:u w:val="single"/>
                <w:lang w:val="en-US" w:eastAsia="zh-CN"/>
              </w:rPr>
              <w:t xml:space="preserve">    任  佳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spacing w:line="360" w:lineRule="auto"/>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审核：</w:t>
            </w:r>
            <w:r>
              <w:rPr>
                <w:rFonts w:hint="eastAsia" w:ascii="黑体" w:hAnsi="黑体" w:eastAsia="黑体" w:cs="黑体"/>
                <w:sz w:val="30"/>
                <w:szCs w:val="30"/>
                <w:u w:val="single"/>
                <w:lang w:val="en-US" w:eastAsia="zh-CN"/>
              </w:rPr>
              <w:t xml:space="preserve">    谌永忠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r>
              <w:rPr>
                <w:rFonts w:hint="eastAsia" w:ascii="黑体" w:hAnsi="黑体" w:eastAsia="黑体" w:cs="黑体"/>
                <w:sz w:val="30"/>
                <w:szCs w:val="30"/>
                <w:lang w:val="en-US" w:eastAsia="zh-CN"/>
              </w:rPr>
              <w:t>批准：</w:t>
            </w:r>
            <w:r>
              <w:rPr>
                <w:rFonts w:hint="eastAsia" w:ascii="黑体" w:hAnsi="黑体" w:eastAsia="黑体" w:cs="黑体"/>
                <w:sz w:val="30"/>
                <w:szCs w:val="30"/>
                <w:u w:val="single"/>
                <w:lang w:val="en-US" w:eastAsia="zh-CN"/>
              </w:rPr>
              <w:t xml:space="preserve">    夏  勇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both"/>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default" w:ascii="黑体" w:hAnsi="黑体" w:eastAsia="黑体" w:cs="黑体"/>
                <w:sz w:val="30"/>
                <w:szCs w:val="30"/>
                <w:u w:val="single"/>
                <w:lang w:val="en-US" w:eastAsia="zh-CN"/>
              </w:rPr>
            </w:pPr>
            <w:r>
              <w:rPr>
                <w:rFonts w:hint="eastAsia" w:ascii="黑体" w:hAnsi="黑体" w:eastAsia="黑体" w:cs="黑体"/>
                <w:sz w:val="30"/>
                <w:szCs w:val="30"/>
                <w:u w:val="none"/>
                <w:lang w:val="en-US" w:eastAsia="zh-CN"/>
              </w:rPr>
              <w:t>生效日期：2023年6月30日</w:t>
            </w:r>
          </w:p>
        </w:tc>
      </w:tr>
    </w:tbl>
    <w:p>
      <w:pPr>
        <w:spacing w:line="360" w:lineRule="auto"/>
        <w:rPr>
          <w:rFonts w:hint="eastAsia"/>
          <w:lang w:val="en-US" w:eastAsia="zh-CN"/>
        </w:rPr>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titlePg/>
          <w:rtlGutter w:val="0"/>
          <w:docGrid w:type="lines" w:linePitch="314" w:charSpace="0"/>
        </w:sectPr>
      </w:pPr>
      <w:r>
        <w:rPr>
          <w:rFonts w:hint="eastAsia" w:ascii="黑体" w:hAnsi="黑体" w:eastAsia="黑体" w:cs="黑体"/>
          <w:sz w:val="36"/>
          <w:szCs w:val="36"/>
          <w:lang w:val="en-US" w:eastAsia="zh-CN"/>
        </w:rPr>
        <w:br w:type="page"/>
      </w:r>
    </w:p>
    <w:p>
      <w:pPr>
        <w:tabs>
          <w:tab w:val="left" w:pos="5695"/>
        </w:tabs>
        <w:spacing w:line="360" w:lineRule="auto"/>
        <w:rPr>
          <w:rFonts w:hint="eastAsia" w:ascii="宋体" w:hAnsi="宋体" w:eastAsia="宋体" w:cs="宋体"/>
          <w:sz w:val="36"/>
          <w:szCs w:val="44"/>
          <w:lang w:eastAsia="zh-CN"/>
        </w:rPr>
      </w:pPr>
      <w:r>
        <w:rPr>
          <w:rFonts w:hint="eastAsia" w:ascii="宋体" w:hAnsi="宋体" w:eastAsia="宋体" w:cs="宋体"/>
          <w:sz w:val="36"/>
          <w:szCs w:val="44"/>
          <w:lang w:eastAsia="zh-CN"/>
        </w:rPr>
        <w:tab/>
      </w:r>
    </w:p>
    <w:sdt>
      <w:sdtPr>
        <w:rPr>
          <w:rFonts w:ascii="宋体" w:hAnsi="宋体" w:eastAsia="宋体" w:cstheme="minorBidi"/>
          <w:kern w:val="2"/>
          <w:sz w:val="21"/>
          <w:szCs w:val="24"/>
          <w:lang w:val="en-US" w:eastAsia="zh-CN" w:bidi="ar-SA"/>
        </w:rPr>
        <w:id w:val="147481692"/>
        <w15:color w:val="DBDBDB"/>
        <w:docPartObj>
          <w:docPartGallery w:val="Table of Contents"/>
          <w:docPartUnique/>
        </w:docPartObj>
      </w:sdtPr>
      <w:sdtEndPr>
        <w:rPr>
          <w:rFonts w:hint="eastAsia" w:ascii="宋体" w:hAnsi="宋体" w:eastAsia="宋体" w:cs="宋体"/>
          <w:sz w:val="28"/>
          <w:szCs w:val="28"/>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r>
            <w:rPr>
              <w:rFonts w:hint="eastAsia" w:ascii="宋体" w:hAnsi="宋体" w:eastAsia="宋体" w:cs="宋体"/>
              <w:sz w:val="28"/>
              <w:szCs w:val="28"/>
            </w:rPr>
            <w:t>目录</w:t>
          </w:r>
        </w:p>
        <w:p>
          <w:pPr>
            <w:pStyle w:val="26"/>
            <w:tabs>
              <w:tab w:val="right" w:leader="dot" w:pos="907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_Toc642 </w:instrText>
          </w:r>
          <w:r>
            <w:rPr>
              <w:rFonts w:hint="eastAsia" w:ascii="宋体" w:hAnsi="宋体" w:eastAsia="宋体" w:cs="宋体"/>
              <w:sz w:val="28"/>
              <w:szCs w:val="28"/>
            </w:rPr>
            <w:fldChar w:fldCharType="separate"/>
          </w:r>
          <w:r>
            <w:rPr>
              <w:rFonts w:hint="eastAsia" w:ascii="宋体" w:hAnsi="宋体" w:eastAsia="宋体" w:cs="宋体"/>
              <w:kern w:val="0"/>
              <w:sz w:val="28"/>
              <w:szCs w:val="28"/>
            </w:rPr>
            <w:t>1.  目的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_Toc642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6"/>
            <w:tabs>
              <w:tab w:val="right" w:leader="dot" w:pos="907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_Toc30394 </w:instrText>
          </w:r>
          <w:r>
            <w:rPr>
              <w:rFonts w:hint="eastAsia" w:ascii="宋体" w:hAnsi="宋体" w:eastAsia="宋体" w:cs="宋体"/>
              <w:sz w:val="28"/>
              <w:szCs w:val="28"/>
            </w:rPr>
            <w:fldChar w:fldCharType="separate"/>
          </w:r>
          <w:r>
            <w:rPr>
              <w:rFonts w:hint="eastAsia" w:ascii="宋体" w:hAnsi="宋体" w:eastAsia="宋体" w:cs="宋体"/>
              <w:kern w:val="0"/>
              <w:sz w:val="28"/>
              <w:szCs w:val="28"/>
            </w:rPr>
            <w:t>2.  适用范围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_Toc30394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6"/>
            <w:tabs>
              <w:tab w:val="right" w:leader="dot" w:pos="907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_Toc24331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3.  </w:t>
          </w:r>
          <w:r>
            <w:rPr>
              <w:rFonts w:hint="eastAsia" w:ascii="宋体" w:hAnsi="宋体" w:eastAsia="宋体" w:cs="宋体"/>
              <w:sz w:val="28"/>
              <w:szCs w:val="28"/>
              <w:lang w:val="zh-CN"/>
            </w:rPr>
            <w:t>方法及过程控制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_Toc24331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6"/>
            <w:tabs>
              <w:tab w:val="right" w:leader="dot" w:pos="907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_Toc1436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 xml:space="preserve">4. </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维护与解释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_Toc1436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rPr>
              <w:rFonts w:hint="eastAsia" w:ascii="宋体" w:hAnsi="宋体" w:eastAsia="宋体" w:cs="宋体"/>
              <w:sz w:val="28"/>
              <w:szCs w:val="28"/>
            </w:rPr>
          </w:pPr>
          <w:r>
            <w:rPr>
              <w:rFonts w:hint="eastAsia" w:ascii="宋体" w:hAnsi="宋体" w:eastAsia="宋体" w:cs="宋体"/>
              <w:sz w:val="28"/>
              <w:szCs w:val="28"/>
            </w:rPr>
            <w:fldChar w:fldCharType="end"/>
          </w:r>
        </w:p>
      </w:sdtContent>
    </w:sdt>
    <w:p>
      <w:pPr>
        <w:pStyle w:val="5"/>
        <w:keepNext w:val="0"/>
        <w:keepLines w:val="0"/>
        <w:pageBreakBefore w:val="0"/>
        <w:widowControl w:val="0"/>
        <w:kinsoku/>
        <w:wordWrap/>
        <w:overflowPunct/>
        <w:topLinePunct w:val="0"/>
        <w:bidi w:val="0"/>
        <w:snapToGrid w:val="0"/>
        <w:spacing w:line="240" w:lineRule="auto"/>
        <w:textAlignment w:val="auto"/>
        <w:outlineLvl w:val="0"/>
        <w:rPr>
          <w:rFonts w:hint="eastAsia" w:ascii="宋体" w:hAnsi="宋体" w:eastAsia="宋体" w:cs="宋体"/>
          <w:kern w:val="0"/>
          <w:sz w:val="24"/>
          <w:szCs w:val="24"/>
        </w:rPr>
      </w:pPr>
      <w:bookmarkStart w:id="12" w:name="_GoBack"/>
      <w:bookmarkEnd w:id="12"/>
      <w:r>
        <w:rPr>
          <w:rFonts w:hint="eastAsia" w:ascii="宋体" w:hAnsi="宋体" w:eastAsia="宋体" w:cs="宋体"/>
          <w:b/>
          <w:bCs/>
          <w:sz w:val="28"/>
          <w:szCs w:val="28"/>
          <w:lang w:val="en-US" w:eastAsia="zh-CN"/>
        </w:rPr>
        <w:br w:type="page"/>
      </w:r>
      <w:bookmarkStart w:id="0" w:name="_Toc642"/>
      <w:r>
        <w:rPr>
          <w:rFonts w:hint="eastAsia" w:ascii="宋体" w:hAnsi="宋体" w:eastAsia="宋体" w:cs="宋体"/>
          <w:color w:val="000000"/>
          <w:kern w:val="0"/>
          <w:sz w:val="24"/>
          <w:szCs w:val="24"/>
        </w:rPr>
        <w:t>1.  目的</w:t>
      </w:r>
      <w:bookmarkEnd w:id="0"/>
      <w:r>
        <w:rPr>
          <w:rFonts w:hint="eastAsia" w:ascii="宋体" w:hAnsi="宋体" w:eastAsia="宋体" w:cs="宋体"/>
          <w:color w:val="000000"/>
          <w:kern w:val="0"/>
          <w:sz w:val="24"/>
          <w:szCs w:val="24"/>
        </w:rPr>
        <w:t xml:space="preserve"> </w:t>
      </w:r>
      <w:bookmarkStart w:id="1" w:name="_Toc324549388"/>
      <w:bookmarkStart w:id="2" w:name="_Toc324549643"/>
      <w:bookmarkStart w:id="3" w:name="_Toc324550157"/>
      <w:bookmarkStart w:id="4" w:name="_Toc324549904"/>
    </w:p>
    <w:p>
      <w:pPr>
        <w:pStyle w:val="5"/>
        <w:keepNext w:val="0"/>
        <w:keepLines w:val="0"/>
        <w:pageBreakBefore w:val="0"/>
        <w:widowControl w:val="0"/>
        <w:kinsoku/>
        <w:wordWrap/>
        <w:overflowPunct/>
        <w:topLinePunct w:val="0"/>
        <w:bidi w:val="0"/>
        <w:snapToGrid w:val="0"/>
        <w:spacing w:line="240" w:lineRule="auto"/>
        <w:ind w:firstLine="480" w:firstLineChars="200"/>
        <w:textAlignment w:val="auto"/>
        <w:rPr>
          <w:rFonts w:hint="eastAsia" w:ascii="宋体" w:hAnsi="宋体" w:eastAsia="宋体" w:cs="宋体"/>
          <w:b w:val="0"/>
          <w:bCs w:val="0"/>
          <w:color w:val="000000"/>
          <w:kern w:val="0"/>
          <w:sz w:val="24"/>
          <w:szCs w:val="24"/>
          <w:lang w:val="de-DE"/>
        </w:rPr>
      </w:pPr>
      <w:r>
        <w:rPr>
          <w:rFonts w:hint="eastAsia" w:ascii="宋体" w:hAnsi="宋体" w:eastAsia="宋体" w:cs="宋体"/>
          <w:b w:val="0"/>
          <w:bCs w:val="0"/>
          <w:color w:val="000000"/>
          <w:kern w:val="0"/>
          <w:sz w:val="24"/>
          <w:szCs w:val="24"/>
          <w:lang w:val="de-DE"/>
        </w:rPr>
        <w:t>为做好公司安全生产事故管理，降低因事故发生带来的人身财产安全，预防事故重复发生，特制定本制度。</w:t>
      </w:r>
    </w:p>
    <w:p>
      <w:pPr>
        <w:pStyle w:val="5"/>
        <w:keepNext w:val="0"/>
        <w:keepLines w:val="0"/>
        <w:pageBreakBefore w:val="0"/>
        <w:widowControl w:val="0"/>
        <w:kinsoku/>
        <w:wordWrap/>
        <w:overflowPunct/>
        <w:topLinePunct w:val="0"/>
        <w:bidi w:val="0"/>
        <w:snapToGrid w:val="0"/>
        <w:spacing w:line="240" w:lineRule="auto"/>
        <w:textAlignment w:val="auto"/>
        <w:outlineLvl w:val="0"/>
        <w:rPr>
          <w:rFonts w:hint="eastAsia" w:ascii="宋体" w:hAnsi="宋体" w:eastAsia="宋体" w:cs="宋体"/>
          <w:kern w:val="0"/>
          <w:sz w:val="24"/>
          <w:szCs w:val="24"/>
        </w:rPr>
      </w:pPr>
      <w:bookmarkStart w:id="5" w:name="_Toc30394"/>
      <w:r>
        <w:rPr>
          <w:rFonts w:hint="eastAsia" w:ascii="宋体" w:hAnsi="宋体" w:eastAsia="宋体" w:cs="宋体"/>
          <w:color w:val="000000"/>
          <w:kern w:val="0"/>
          <w:sz w:val="24"/>
          <w:szCs w:val="24"/>
        </w:rPr>
        <w:t>2.  适用范围</w:t>
      </w:r>
      <w:bookmarkEnd w:id="1"/>
      <w:bookmarkEnd w:id="2"/>
      <w:bookmarkEnd w:id="3"/>
      <w:bookmarkEnd w:id="4"/>
      <w:bookmarkEnd w:id="5"/>
      <w:r>
        <w:rPr>
          <w:rFonts w:hint="eastAsia" w:ascii="宋体" w:hAnsi="宋体" w:eastAsia="宋体" w:cs="宋体"/>
          <w:color w:val="000000"/>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4" w:firstLineChars="177"/>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本制度适用于</w:t>
      </w:r>
      <w:r>
        <w:rPr>
          <w:rFonts w:hint="eastAsia" w:ascii="宋体" w:hAnsi="宋体" w:eastAsia="宋体" w:cs="宋体"/>
          <w:color w:val="000000"/>
          <w:sz w:val="24"/>
          <w:szCs w:val="24"/>
          <w:lang w:eastAsia="zh-CN"/>
        </w:rPr>
        <w:t>公司</w:t>
      </w:r>
      <w:r>
        <w:rPr>
          <w:rFonts w:hint="eastAsia" w:ascii="宋体" w:hAnsi="宋体" w:eastAsia="宋体" w:cs="宋体"/>
          <w:color w:val="000000"/>
          <w:sz w:val="24"/>
          <w:szCs w:val="24"/>
        </w:rPr>
        <w:t>全体员工。</w:t>
      </w:r>
      <w:bookmarkStart w:id="6" w:name="_Toc324549389"/>
      <w:bookmarkStart w:id="7" w:name="_Toc324549644"/>
      <w:bookmarkStart w:id="8" w:name="_Toc324550158"/>
      <w:bookmarkStart w:id="9" w:name="_Toc324549905"/>
    </w:p>
    <w:p>
      <w:pPr>
        <w:pStyle w:val="5"/>
        <w:keepNext w:val="0"/>
        <w:keepLines w:val="0"/>
        <w:pageBreakBefore w:val="0"/>
        <w:widowControl w:val="0"/>
        <w:kinsoku/>
        <w:wordWrap/>
        <w:overflowPunct/>
        <w:topLinePunct w:val="0"/>
        <w:bidi w:val="0"/>
        <w:snapToGrid w:val="0"/>
        <w:spacing w:line="240" w:lineRule="auto"/>
        <w:textAlignment w:val="auto"/>
        <w:outlineLvl w:val="0"/>
        <w:rPr>
          <w:rFonts w:hint="eastAsia" w:ascii="宋体" w:hAnsi="宋体" w:eastAsia="宋体" w:cs="宋体"/>
          <w:color w:val="000000"/>
          <w:kern w:val="0"/>
          <w:sz w:val="24"/>
          <w:szCs w:val="24"/>
          <w:lang w:eastAsia="zh-CN"/>
        </w:rPr>
      </w:pPr>
      <w:bookmarkStart w:id="10" w:name="_Toc24331"/>
      <w:r>
        <w:rPr>
          <w:rFonts w:hint="eastAsia" w:ascii="宋体" w:hAnsi="宋体" w:eastAsia="宋体" w:cs="宋体"/>
          <w:color w:val="000000"/>
          <w:kern w:val="0"/>
          <w:sz w:val="24"/>
          <w:szCs w:val="24"/>
        </w:rPr>
        <w:t xml:space="preserve">3.  </w:t>
      </w:r>
      <w:bookmarkEnd w:id="6"/>
      <w:bookmarkEnd w:id="7"/>
      <w:bookmarkEnd w:id="8"/>
      <w:bookmarkEnd w:id="9"/>
      <w:r>
        <w:rPr>
          <w:rFonts w:hint="eastAsia" w:ascii="宋体" w:hAnsi="宋体" w:eastAsia="宋体" w:cs="宋体"/>
          <w:color w:val="000000"/>
          <w:kern w:val="0"/>
          <w:sz w:val="24"/>
          <w:szCs w:val="24"/>
          <w:lang w:val="zh-CN"/>
        </w:rPr>
        <w:t>方法及过程控制</w:t>
      </w:r>
      <w:bookmarkEnd w:id="10"/>
    </w:p>
    <w:p>
      <w:pPr>
        <w:spacing w:line="240" w:lineRule="auto"/>
        <w:rPr>
          <w:rFonts w:hint="eastAsia" w:ascii="宋体" w:hAnsi="宋体" w:eastAsia="宋体" w:cs="宋体"/>
          <w:b/>
          <w:sz w:val="24"/>
          <w:szCs w:val="24"/>
        </w:rPr>
      </w:pPr>
      <w:r>
        <w:rPr>
          <w:rFonts w:hint="eastAsia" w:ascii="宋体" w:hAnsi="宋体" w:eastAsia="宋体" w:cs="宋体"/>
          <w:b/>
          <w:sz w:val="24"/>
          <w:szCs w:val="24"/>
          <w:lang w:eastAsia="zh-CN"/>
        </w:rPr>
        <w:t>3</w:t>
      </w:r>
      <w:r>
        <w:rPr>
          <w:rFonts w:hint="eastAsia" w:ascii="宋体" w:hAnsi="宋体" w:eastAsia="宋体" w:cs="宋体"/>
          <w:b/>
          <w:sz w:val="24"/>
          <w:szCs w:val="24"/>
        </w:rPr>
        <w:t>.1</w:t>
      </w:r>
      <w:r>
        <w:rPr>
          <w:rFonts w:hint="eastAsia" w:ascii="宋体" w:hAnsi="宋体" w:eastAsia="宋体" w:cs="宋体"/>
          <w:b/>
          <w:sz w:val="24"/>
          <w:szCs w:val="24"/>
          <w:lang w:val="en-US" w:eastAsia="zh-CN"/>
        </w:rPr>
        <w:t>事故</w:t>
      </w:r>
      <w:r>
        <w:rPr>
          <w:rFonts w:hint="eastAsia" w:ascii="宋体" w:hAnsi="宋体" w:eastAsia="宋体" w:cs="宋体"/>
          <w:b/>
          <w:sz w:val="24"/>
          <w:szCs w:val="24"/>
        </w:rPr>
        <w:t>分类标准</w:t>
      </w:r>
    </w:p>
    <w:p>
      <w:pPr>
        <w:spacing w:line="240" w:lineRule="auto"/>
        <w:rPr>
          <w:rFonts w:hint="eastAsia" w:ascii="宋体" w:hAnsi="宋体" w:eastAsia="宋体" w:cs="宋体"/>
          <w:sz w:val="24"/>
          <w:szCs w:val="24"/>
        </w:rPr>
      </w:pPr>
      <w:r>
        <w:rPr>
          <w:rFonts w:hint="eastAsia" w:ascii="宋体" w:hAnsi="宋体" w:eastAsia="宋体" w:cs="宋体"/>
          <w:sz w:val="24"/>
          <w:szCs w:val="24"/>
        </w:rPr>
        <w:t>按照突发事件发生来源和主体分为两个大类别，包含九个第一类别和二十六个第二类别。具体类别见下述表格：（说明）</w:t>
      </w:r>
    </w:p>
    <w:tbl>
      <w:tblPr>
        <w:tblStyle w:val="15"/>
        <w:tblW w:w="9450" w:type="dxa"/>
        <w:tblInd w:w="296" w:type="dxa"/>
        <w:tblLayout w:type="autofit"/>
        <w:tblCellMar>
          <w:top w:w="0" w:type="dxa"/>
          <w:left w:w="108" w:type="dxa"/>
          <w:bottom w:w="0" w:type="dxa"/>
          <w:right w:w="108" w:type="dxa"/>
        </w:tblCellMar>
      </w:tblPr>
      <w:tblGrid>
        <w:gridCol w:w="900"/>
        <w:gridCol w:w="863"/>
        <w:gridCol w:w="937"/>
        <w:gridCol w:w="2194"/>
        <w:gridCol w:w="4556"/>
      </w:tblGrid>
      <w:tr>
        <w:tblPrEx>
          <w:tblCellMar>
            <w:top w:w="0" w:type="dxa"/>
            <w:left w:w="108" w:type="dxa"/>
            <w:bottom w:w="0" w:type="dxa"/>
            <w:right w:w="108" w:type="dxa"/>
          </w:tblCellMar>
        </w:tblPrEx>
        <w:trPr>
          <w:trHeight w:val="540" w:hRule="atLeast"/>
        </w:trPr>
        <w:tc>
          <w:tcPr>
            <w:tcW w:w="900" w:type="dxa"/>
            <w:tcBorders>
              <w:top w:val="single" w:color="auto" w:sz="4" w:space="0"/>
              <w:left w:val="single" w:color="auto" w:sz="4" w:space="0"/>
              <w:bottom w:val="single" w:color="auto" w:sz="4" w:space="0"/>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第一类别代码</w:t>
            </w:r>
          </w:p>
        </w:tc>
        <w:tc>
          <w:tcPr>
            <w:tcW w:w="863" w:type="dxa"/>
            <w:tcBorders>
              <w:top w:val="single" w:color="auto" w:sz="4" w:space="0"/>
              <w:left w:val="nil"/>
              <w:bottom w:val="single" w:color="auto" w:sz="4" w:space="0"/>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第一类别</w:t>
            </w:r>
          </w:p>
        </w:tc>
        <w:tc>
          <w:tcPr>
            <w:tcW w:w="937" w:type="dxa"/>
            <w:tcBorders>
              <w:top w:val="single" w:color="auto" w:sz="4" w:space="0"/>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第二类别代码</w:t>
            </w:r>
          </w:p>
        </w:tc>
        <w:tc>
          <w:tcPr>
            <w:tcW w:w="2194" w:type="dxa"/>
            <w:tcBorders>
              <w:top w:val="single" w:color="auto" w:sz="4" w:space="0"/>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第二类别</w:t>
            </w:r>
          </w:p>
        </w:tc>
        <w:tc>
          <w:tcPr>
            <w:tcW w:w="4556" w:type="dxa"/>
            <w:tcBorders>
              <w:top w:val="single" w:color="auto" w:sz="4" w:space="0"/>
              <w:left w:val="single" w:color="auto" w:sz="4" w:space="0"/>
              <w:bottom w:val="single" w:color="000000" w:sz="4" w:space="0"/>
              <w:right w:val="single" w:color="auto" w:sz="4" w:space="0"/>
            </w:tcBorders>
            <w:vAlign w:val="center"/>
          </w:tcPr>
          <w:p>
            <w:pPr>
              <w:spacing w:line="24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注释</w:t>
            </w:r>
          </w:p>
        </w:tc>
      </w:tr>
      <w:tr>
        <w:tblPrEx>
          <w:tblCellMar>
            <w:top w:w="0" w:type="dxa"/>
            <w:left w:w="108" w:type="dxa"/>
            <w:bottom w:w="0" w:type="dxa"/>
            <w:right w:w="108" w:type="dxa"/>
          </w:tblCellMar>
        </w:tblPrEx>
        <w:trPr>
          <w:trHeight w:val="270" w:hRule="atLeast"/>
        </w:trPr>
        <w:tc>
          <w:tcPr>
            <w:tcW w:w="900" w:type="dxa"/>
            <w:vMerge w:val="restart"/>
            <w:tcBorders>
              <w:top w:val="nil"/>
              <w:left w:val="single" w:color="auto" w:sz="4" w:space="0"/>
              <w:bottom w:val="single" w:color="auto" w:sz="4" w:space="0"/>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A</w:t>
            </w:r>
          </w:p>
        </w:tc>
        <w:tc>
          <w:tcPr>
            <w:tcW w:w="863" w:type="dxa"/>
            <w:vMerge w:val="restart"/>
            <w:tcBorders>
              <w:top w:val="nil"/>
              <w:left w:val="single" w:color="auto" w:sz="4" w:space="0"/>
              <w:bottom w:val="single" w:color="auto" w:sz="4" w:space="0"/>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员工类</w:t>
            </w: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A1</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意外伤害</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员工受到意外伤害或突发疾病（身体或心理）的事件；</w:t>
            </w:r>
          </w:p>
        </w:tc>
      </w:tr>
      <w:tr>
        <w:tblPrEx>
          <w:tblCellMar>
            <w:top w:w="0" w:type="dxa"/>
            <w:left w:w="108" w:type="dxa"/>
            <w:bottom w:w="0" w:type="dxa"/>
            <w:right w:w="108" w:type="dxa"/>
          </w:tblCellMar>
        </w:tblPrEx>
        <w:trPr>
          <w:trHeight w:val="1080" w:hRule="atLeast"/>
        </w:trPr>
        <w:tc>
          <w:tcPr>
            <w:tcW w:w="900" w:type="dxa"/>
            <w:vMerge w:val="continue"/>
            <w:tcBorders>
              <w:top w:val="nil"/>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863" w:type="dxa"/>
            <w:vMerge w:val="continue"/>
            <w:tcBorders>
              <w:top w:val="nil"/>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A2</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违法违规事件</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罢工脱岗、打架斗殴、蓄意破坏、敲诈勒索、泄露机密、职务侵占、盗窃抢劫、传销、涉毒涉赌涉黄、诋毁公司品牌形象等违反国家法律法规或公司职员职务行为准则的事件；</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863" w:type="dxa"/>
            <w:vMerge w:val="continue"/>
            <w:tcBorders>
              <w:top w:val="nil"/>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A3</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职业卫生事件</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食物中毒，确诊非典、禽流感等高危传染性疾病或疫情；</w:t>
            </w:r>
          </w:p>
        </w:tc>
      </w:tr>
      <w:tr>
        <w:tblPrEx>
          <w:tblCellMar>
            <w:top w:w="0" w:type="dxa"/>
            <w:left w:w="108" w:type="dxa"/>
            <w:bottom w:w="0" w:type="dxa"/>
            <w:right w:w="108" w:type="dxa"/>
          </w:tblCellMar>
        </w:tblPrEx>
        <w:trPr>
          <w:trHeight w:val="270" w:hRule="atLeast"/>
        </w:trPr>
        <w:tc>
          <w:tcPr>
            <w:tcW w:w="900" w:type="dxa"/>
            <w:vMerge w:val="restart"/>
            <w:tcBorders>
              <w:top w:val="nil"/>
              <w:left w:val="single" w:color="auto" w:sz="4" w:space="0"/>
              <w:bottom w:val="nil"/>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B</w:t>
            </w:r>
          </w:p>
        </w:tc>
        <w:tc>
          <w:tcPr>
            <w:tcW w:w="863" w:type="dxa"/>
            <w:vMerge w:val="restart"/>
            <w:tcBorders>
              <w:top w:val="nil"/>
              <w:left w:val="single" w:color="auto" w:sz="4" w:space="0"/>
              <w:bottom w:val="nil"/>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客户及第三方人员类</w:t>
            </w: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B1</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意外伤害</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客户或第三方人员在服务区域内受到意外伤害事件；</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nil"/>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863" w:type="dxa"/>
            <w:vMerge w:val="continue"/>
            <w:tcBorders>
              <w:top w:val="nil"/>
              <w:left w:val="single" w:color="auto" w:sz="4" w:space="0"/>
              <w:bottom w:val="nil"/>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B2</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卫生事件</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服务区域内客户及第三方人员确诊一例及以上如非典、禽流感等高传染性高致命性疾病或疫情；</w:t>
            </w:r>
          </w:p>
        </w:tc>
      </w:tr>
      <w:tr>
        <w:tblPrEx>
          <w:tblCellMar>
            <w:top w:w="0" w:type="dxa"/>
            <w:left w:w="108" w:type="dxa"/>
            <w:bottom w:w="0" w:type="dxa"/>
            <w:right w:w="108" w:type="dxa"/>
          </w:tblCellMar>
        </w:tblPrEx>
        <w:trPr>
          <w:trHeight w:val="270" w:hRule="atLeast"/>
        </w:trPr>
        <w:tc>
          <w:tcPr>
            <w:tcW w:w="900" w:type="dxa"/>
            <w:vMerge w:val="restart"/>
            <w:tcBorders>
              <w:top w:val="single" w:color="auto" w:sz="4" w:space="0"/>
              <w:left w:val="single" w:color="auto" w:sz="4" w:space="0"/>
              <w:bottom w:val="single" w:color="auto" w:sz="4" w:space="0"/>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C</w:t>
            </w:r>
          </w:p>
        </w:tc>
        <w:tc>
          <w:tcPr>
            <w:tcW w:w="863" w:type="dxa"/>
            <w:vMerge w:val="restart"/>
            <w:tcBorders>
              <w:top w:val="single" w:color="auto" w:sz="4" w:space="0"/>
              <w:left w:val="single" w:color="auto" w:sz="4" w:space="0"/>
              <w:bottom w:val="single" w:color="auto" w:sz="4" w:space="0"/>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财产类</w:t>
            </w: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C1</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客户财产损失</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108" w:type="dxa"/>
            <w:bottom w:w="0" w:type="dxa"/>
            <w:right w:w="108" w:type="dxa"/>
          </w:tblCellMar>
        </w:tblPrEx>
        <w:trPr>
          <w:trHeight w:val="270" w:hRule="atLeast"/>
        </w:trPr>
        <w:tc>
          <w:tcPr>
            <w:tcW w:w="900" w:type="dxa"/>
            <w:vMerge w:val="continue"/>
            <w:tcBorders>
              <w:top w:val="single" w:color="auto" w:sz="4" w:space="0"/>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863" w:type="dxa"/>
            <w:vMerge w:val="continue"/>
            <w:tcBorders>
              <w:top w:val="single" w:color="auto" w:sz="4" w:space="0"/>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C2</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员工财产损失</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108" w:type="dxa"/>
            <w:bottom w:w="0" w:type="dxa"/>
            <w:right w:w="108" w:type="dxa"/>
          </w:tblCellMar>
        </w:tblPrEx>
        <w:trPr>
          <w:trHeight w:val="270" w:hRule="atLeast"/>
        </w:trPr>
        <w:tc>
          <w:tcPr>
            <w:tcW w:w="900" w:type="dxa"/>
            <w:vMerge w:val="continue"/>
            <w:tcBorders>
              <w:top w:val="single" w:color="auto" w:sz="4" w:space="0"/>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863" w:type="dxa"/>
            <w:vMerge w:val="continue"/>
            <w:tcBorders>
              <w:top w:val="single" w:color="auto" w:sz="4" w:space="0"/>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C3</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第三方人员财产损失</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108" w:type="dxa"/>
            <w:bottom w:w="0" w:type="dxa"/>
            <w:right w:w="108" w:type="dxa"/>
          </w:tblCellMar>
        </w:tblPrEx>
        <w:trPr>
          <w:trHeight w:val="270" w:hRule="atLeast"/>
        </w:trPr>
        <w:tc>
          <w:tcPr>
            <w:tcW w:w="900" w:type="dxa"/>
            <w:vMerge w:val="continue"/>
            <w:tcBorders>
              <w:top w:val="single" w:color="auto" w:sz="4" w:space="0"/>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863" w:type="dxa"/>
            <w:vMerge w:val="continue"/>
            <w:tcBorders>
              <w:top w:val="single" w:color="auto" w:sz="4" w:space="0"/>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C4</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公共财产损失</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项目公共区域财产损失；</w:t>
            </w:r>
          </w:p>
        </w:tc>
      </w:tr>
      <w:tr>
        <w:tblPrEx>
          <w:tblCellMar>
            <w:top w:w="0" w:type="dxa"/>
            <w:left w:w="108" w:type="dxa"/>
            <w:bottom w:w="0" w:type="dxa"/>
            <w:right w:w="108" w:type="dxa"/>
          </w:tblCellMar>
        </w:tblPrEx>
        <w:trPr>
          <w:trHeight w:val="270" w:hRule="atLeast"/>
        </w:trPr>
        <w:tc>
          <w:tcPr>
            <w:tcW w:w="900" w:type="dxa"/>
            <w:vMerge w:val="continue"/>
            <w:tcBorders>
              <w:top w:val="single" w:color="auto" w:sz="4" w:space="0"/>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863" w:type="dxa"/>
            <w:vMerge w:val="continue"/>
            <w:tcBorders>
              <w:top w:val="single" w:color="auto" w:sz="4" w:space="0"/>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C5</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公司财产损失及机密资料泄露</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政府罚款除外；</w:t>
            </w:r>
          </w:p>
        </w:tc>
      </w:tr>
      <w:tr>
        <w:tblPrEx>
          <w:tblCellMar>
            <w:top w:w="0" w:type="dxa"/>
            <w:left w:w="108" w:type="dxa"/>
            <w:bottom w:w="0" w:type="dxa"/>
            <w:right w:w="108" w:type="dxa"/>
          </w:tblCellMar>
        </w:tblPrEx>
        <w:trPr>
          <w:trHeight w:val="810" w:hRule="atLeast"/>
        </w:trPr>
        <w:tc>
          <w:tcPr>
            <w:tcW w:w="900" w:type="dxa"/>
            <w:vMerge w:val="restart"/>
            <w:tcBorders>
              <w:top w:val="nil"/>
              <w:left w:val="single" w:color="auto" w:sz="4" w:space="0"/>
              <w:bottom w:val="single" w:color="000000" w:sz="4" w:space="0"/>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D</w:t>
            </w:r>
          </w:p>
        </w:tc>
        <w:tc>
          <w:tcPr>
            <w:tcW w:w="863" w:type="dxa"/>
            <w:vMerge w:val="restart"/>
            <w:tcBorders>
              <w:top w:val="nil"/>
              <w:left w:val="single" w:color="auto" w:sz="4" w:space="0"/>
              <w:bottom w:val="single" w:color="000000" w:sz="4" w:space="0"/>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公共类</w:t>
            </w: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D1</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公共服务</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因市政\房屋本体\设备设施\人员操作\原因导致的停水、停电、停气、电梯困人等公共服务中断或受到严重影响的事件；</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863" w:type="dxa"/>
            <w:vMerge w:val="continue"/>
            <w:tcBorders>
              <w:top w:val="nil"/>
              <w:left w:val="single" w:color="auto" w:sz="4" w:space="0"/>
              <w:bottom w:val="single" w:color="000000"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D2</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自然灾害</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地震、台风、洪水、暴雨、山体滑坡、极端高/低温等恶劣天气；</w:t>
            </w:r>
          </w:p>
        </w:tc>
      </w:tr>
      <w:tr>
        <w:tblPrEx>
          <w:tblCellMar>
            <w:top w:w="0" w:type="dxa"/>
            <w:left w:w="108" w:type="dxa"/>
            <w:bottom w:w="0" w:type="dxa"/>
            <w:right w:w="108" w:type="dxa"/>
          </w:tblCellMar>
        </w:tblPrEx>
        <w:trPr>
          <w:trHeight w:val="270" w:hRule="atLeast"/>
        </w:trPr>
        <w:tc>
          <w:tcPr>
            <w:tcW w:w="900" w:type="dxa"/>
            <w:vMerge w:val="continue"/>
            <w:tcBorders>
              <w:top w:val="nil"/>
              <w:left w:val="single" w:color="auto" w:sz="4" w:space="0"/>
              <w:bottom w:val="single" w:color="000000"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863" w:type="dxa"/>
            <w:vMerge w:val="continue"/>
            <w:tcBorders>
              <w:top w:val="nil"/>
              <w:left w:val="single" w:color="auto" w:sz="4" w:space="0"/>
              <w:bottom w:val="single" w:color="000000"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D3</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公共卫生</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空气/水源污染等环境事件；</w:t>
            </w:r>
          </w:p>
        </w:tc>
      </w:tr>
      <w:tr>
        <w:tblPrEx>
          <w:tblCellMar>
            <w:top w:w="0" w:type="dxa"/>
            <w:left w:w="108" w:type="dxa"/>
            <w:bottom w:w="0" w:type="dxa"/>
            <w:right w:w="108" w:type="dxa"/>
          </w:tblCellMar>
        </w:tblPrEx>
        <w:trPr>
          <w:trHeight w:val="270" w:hRule="atLeast"/>
        </w:trPr>
        <w:tc>
          <w:tcPr>
            <w:tcW w:w="900" w:type="dxa"/>
            <w:vMerge w:val="continue"/>
            <w:tcBorders>
              <w:top w:val="nil"/>
              <w:left w:val="single" w:color="auto" w:sz="4" w:space="0"/>
              <w:bottom w:val="single" w:color="000000"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863" w:type="dxa"/>
            <w:vMerge w:val="continue"/>
            <w:tcBorders>
              <w:top w:val="nil"/>
              <w:left w:val="single" w:color="auto" w:sz="4" w:space="0"/>
              <w:bottom w:val="single" w:color="000000"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D4</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公共安全</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治安类、涉警类等影响公共安全的事件；</w:t>
            </w:r>
          </w:p>
        </w:tc>
      </w:tr>
      <w:tr>
        <w:tblPrEx>
          <w:tblCellMar>
            <w:top w:w="0" w:type="dxa"/>
            <w:left w:w="108" w:type="dxa"/>
            <w:bottom w:w="0" w:type="dxa"/>
            <w:right w:w="108" w:type="dxa"/>
          </w:tblCellMar>
        </w:tblPrEx>
        <w:trPr>
          <w:trHeight w:val="270" w:hRule="atLeast"/>
        </w:trPr>
        <w:tc>
          <w:tcPr>
            <w:tcW w:w="900" w:type="dxa"/>
            <w:vMerge w:val="continue"/>
            <w:tcBorders>
              <w:top w:val="nil"/>
              <w:left w:val="single" w:color="auto" w:sz="4" w:space="0"/>
              <w:bottom w:val="single" w:color="000000"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863" w:type="dxa"/>
            <w:vMerge w:val="continue"/>
            <w:tcBorders>
              <w:top w:val="nil"/>
              <w:left w:val="single" w:color="auto" w:sz="4" w:space="0"/>
              <w:bottom w:val="single" w:color="000000"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D5</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公共秩序</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服务区域内人为扰乱公共秩序的事件；</w:t>
            </w:r>
          </w:p>
        </w:tc>
      </w:tr>
      <w:tr>
        <w:tblPrEx>
          <w:tblCellMar>
            <w:top w:w="0" w:type="dxa"/>
            <w:left w:w="108" w:type="dxa"/>
            <w:bottom w:w="0" w:type="dxa"/>
            <w:right w:w="108" w:type="dxa"/>
          </w:tblCellMar>
        </w:tblPrEx>
        <w:trPr>
          <w:trHeight w:val="540" w:hRule="atLeast"/>
        </w:trPr>
        <w:tc>
          <w:tcPr>
            <w:tcW w:w="900" w:type="dxa"/>
            <w:tcBorders>
              <w:top w:val="nil"/>
              <w:left w:val="single" w:color="auto" w:sz="4" w:space="0"/>
              <w:bottom w:val="single" w:color="auto" w:sz="4" w:space="0"/>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E</w:t>
            </w:r>
          </w:p>
        </w:tc>
        <w:tc>
          <w:tcPr>
            <w:tcW w:w="863" w:type="dxa"/>
            <w:tcBorders>
              <w:top w:val="nil"/>
              <w:left w:val="nil"/>
              <w:bottom w:val="single" w:color="auto" w:sz="4" w:space="0"/>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媒体类</w:t>
            </w: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E1</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媒体类</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网络媒体、广播、电视、自媒体（微博、微信等）、报纸、杂志等负面报道（包含自制和转载）</w:t>
            </w:r>
          </w:p>
        </w:tc>
      </w:tr>
      <w:tr>
        <w:tblPrEx>
          <w:tblCellMar>
            <w:top w:w="0" w:type="dxa"/>
            <w:left w:w="108" w:type="dxa"/>
            <w:bottom w:w="0" w:type="dxa"/>
            <w:right w:w="108" w:type="dxa"/>
          </w:tblCellMar>
        </w:tblPrEx>
        <w:trPr>
          <w:trHeight w:val="432" w:hRule="atLeast"/>
        </w:trPr>
        <w:tc>
          <w:tcPr>
            <w:tcW w:w="900" w:type="dxa"/>
            <w:vMerge w:val="restart"/>
            <w:tcBorders>
              <w:top w:val="nil"/>
              <w:left w:val="single" w:color="auto" w:sz="4" w:space="0"/>
              <w:bottom w:val="single" w:color="auto" w:sz="4" w:space="0"/>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F</w:t>
            </w:r>
          </w:p>
        </w:tc>
        <w:tc>
          <w:tcPr>
            <w:tcW w:w="863" w:type="dxa"/>
            <w:vMerge w:val="restart"/>
            <w:tcBorders>
              <w:top w:val="nil"/>
              <w:left w:val="single" w:color="auto" w:sz="4" w:space="0"/>
              <w:bottom w:val="single" w:color="auto" w:sz="4" w:space="0"/>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法务类</w:t>
            </w: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F1</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诉讼案件</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物业公司作为被告收到法院传票的事件；</w:t>
            </w:r>
          </w:p>
        </w:tc>
      </w:tr>
      <w:tr>
        <w:tblPrEx>
          <w:tblCellMar>
            <w:top w:w="0" w:type="dxa"/>
            <w:left w:w="108" w:type="dxa"/>
            <w:bottom w:w="0" w:type="dxa"/>
            <w:right w:w="108" w:type="dxa"/>
          </w:tblCellMar>
        </w:tblPrEx>
        <w:trPr>
          <w:trHeight w:val="435" w:hRule="atLeast"/>
        </w:trPr>
        <w:tc>
          <w:tcPr>
            <w:tcW w:w="900" w:type="dxa"/>
            <w:vMerge w:val="continue"/>
            <w:tcBorders>
              <w:top w:val="nil"/>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863" w:type="dxa"/>
            <w:vMerge w:val="continue"/>
            <w:tcBorders>
              <w:top w:val="nil"/>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F2</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政府罚款</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被政府主管部门下达行政处罚（涉及经济处罚）的事件；</w:t>
            </w:r>
          </w:p>
        </w:tc>
      </w:tr>
      <w:tr>
        <w:tblPrEx>
          <w:tblCellMar>
            <w:top w:w="0" w:type="dxa"/>
            <w:left w:w="108" w:type="dxa"/>
            <w:bottom w:w="0" w:type="dxa"/>
            <w:right w:w="108" w:type="dxa"/>
          </w:tblCellMar>
        </w:tblPrEx>
        <w:trPr>
          <w:trHeight w:val="401" w:hRule="atLeast"/>
        </w:trPr>
        <w:tc>
          <w:tcPr>
            <w:tcW w:w="900" w:type="dxa"/>
            <w:vMerge w:val="restart"/>
            <w:tcBorders>
              <w:top w:val="nil"/>
              <w:left w:val="single" w:color="auto" w:sz="4" w:space="0"/>
              <w:bottom w:val="single" w:color="auto" w:sz="4" w:space="0"/>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G</w:t>
            </w:r>
          </w:p>
        </w:tc>
        <w:tc>
          <w:tcPr>
            <w:tcW w:w="863" w:type="dxa"/>
            <w:vMerge w:val="restart"/>
            <w:tcBorders>
              <w:top w:val="nil"/>
              <w:left w:val="single" w:color="auto" w:sz="4" w:space="0"/>
              <w:bottom w:val="single" w:color="auto" w:sz="4" w:space="0"/>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政府类</w:t>
            </w: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G1</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国家部委级到访、考察与稽核</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108" w:type="dxa"/>
            <w:bottom w:w="0" w:type="dxa"/>
            <w:right w:w="108" w:type="dxa"/>
          </w:tblCellMar>
        </w:tblPrEx>
        <w:trPr>
          <w:trHeight w:val="407" w:hRule="atLeast"/>
        </w:trPr>
        <w:tc>
          <w:tcPr>
            <w:tcW w:w="900" w:type="dxa"/>
            <w:vMerge w:val="continue"/>
            <w:tcBorders>
              <w:top w:val="nil"/>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863" w:type="dxa"/>
            <w:vMerge w:val="continue"/>
            <w:tcBorders>
              <w:top w:val="nil"/>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G2</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省级政府部门到访、办案或检查</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863" w:type="dxa"/>
            <w:vMerge w:val="continue"/>
            <w:tcBorders>
              <w:top w:val="nil"/>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G3</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市级（含以下）政府部门到访、办案或检查</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863" w:type="dxa"/>
            <w:vMerge w:val="continue"/>
            <w:tcBorders>
              <w:top w:val="nil"/>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G4</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业主群体在服务区域内及周边与政府部门发生冲突</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108" w:type="dxa"/>
            <w:bottom w:w="0" w:type="dxa"/>
            <w:right w:w="108" w:type="dxa"/>
          </w:tblCellMar>
        </w:tblPrEx>
        <w:trPr>
          <w:trHeight w:val="540" w:hRule="atLeast"/>
        </w:trPr>
        <w:tc>
          <w:tcPr>
            <w:tcW w:w="900" w:type="dxa"/>
            <w:vMerge w:val="restart"/>
            <w:tcBorders>
              <w:top w:val="nil"/>
              <w:left w:val="single" w:color="auto" w:sz="4" w:space="0"/>
              <w:bottom w:val="single" w:color="auto" w:sz="4" w:space="0"/>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H</w:t>
            </w:r>
          </w:p>
        </w:tc>
        <w:tc>
          <w:tcPr>
            <w:tcW w:w="863" w:type="dxa"/>
            <w:vMerge w:val="restart"/>
            <w:tcBorders>
              <w:top w:val="nil"/>
              <w:left w:val="single" w:color="auto" w:sz="4" w:space="0"/>
              <w:bottom w:val="single" w:color="auto" w:sz="4" w:space="0"/>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投诉类</w:t>
            </w: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H1</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集体维权、集体讨薪、客户投诉；</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863" w:type="dxa"/>
            <w:vMerge w:val="continue"/>
            <w:tcBorders>
              <w:top w:val="nil"/>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H2</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受到业主委员会书面批评或占1/2以上委员明确批评；</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108" w:type="dxa"/>
            <w:bottom w:w="0" w:type="dxa"/>
            <w:right w:w="108" w:type="dxa"/>
          </w:tblCellMar>
        </w:tblPrEx>
        <w:trPr>
          <w:trHeight w:val="690" w:hRule="atLeast"/>
        </w:trPr>
        <w:tc>
          <w:tcPr>
            <w:tcW w:w="900" w:type="dxa"/>
            <w:vMerge w:val="continue"/>
            <w:tcBorders>
              <w:top w:val="nil"/>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863" w:type="dxa"/>
            <w:vMerge w:val="continue"/>
            <w:tcBorders>
              <w:top w:val="nil"/>
              <w:left w:val="single" w:color="auto" w:sz="4" w:space="0"/>
              <w:bottom w:val="single" w:color="auto" w:sz="4" w:space="0"/>
              <w:right w:val="single" w:color="auto" w:sz="4" w:space="0"/>
            </w:tcBorders>
            <w:shd w:val="clear" w:color="auto" w:fill="FFC000"/>
            <w:vAlign w:val="center"/>
          </w:tcPr>
          <w:p>
            <w:pPr>
              <w:spacing w:line="240" w:lineRule="auto"/>
              <w:rPr>
                <w:rFonts w:hint="eastAsia" w:ascii="宋体" w:hAnsi="宋体" w:eastAsia="宋体" w:cs="宋体"/>
                <w:color w:val="000000"/>
                <w:sz w:val="24"/>
                <w:szCs w:val="24"/>
              </w:rPr>
            </w:pP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H3</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召开非预期的业主大会或业主大会可能形成对我司不力决议的；</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108" w:type="dxa"/>
            <w:bottom w:w="0" w:type="dxa"/>
            <w:right w:w="108" w:type="dxa"/>
          </w:tblCellMar>
        </w:tblPrEx>
        <w:trPr>
          <w:trHeight w:val="540" w:hRule="atLeast"/>
        </w:trPr>
        <w:tc>
          <w:tcPr>
            <w:tcW w:w="900" w:type="dxa"/>
            <w:tcBorders>
              <w:top w:val="nil"/>
              <w:left w:val="single" w:color="auto" w:sz="4" w:space="0"/>
              <w:bottom w:val="single" w:color="auto" w:sz="4" w:space="0"/>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I</w:t>
            </w:r>
          </w:p>
        </w:tc>
        <w:tc>
          <w:tcPr>
            <w:tcW w:w="863" w:type="dxa"/>
            <w:tcBorders>
              <w:top w:val="nil"/>
              <w:left w:val="nil"/>
              <w:bottom w:val="single" w:color="auto" w:sz="4" w:space="0"/>
              <w:right w:val="single" w:color="auto" w:sz="4" w:space="0"/>
            </w:tcBorders>
            <w:shd w:val="clear" w:color="auto" w:fill="FFC00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其它类</w:t>
            </w:r>
          </w:p>
        </w:tc>
        <w:tc>
          <w:tcPr>
            <w:tcW w:w="937" w:type="dxa"/>
            <w:tcBorders>
              <w:top w:val="nil"/>
              <w:left w:val="nil"/>
              <w:bottom w:val="single" w:color="auto" w:sz="4" w:space="0"/>
              <w:right w:val="single" w:color="auto" w:sz="4" w:space="0"/>
            </w:tcBorders>
            <w:shd w:val="clear" w:color="auto" w:fill="99CCFF"/>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I1</w:t>
            </w:r>
          </w:p>
        </w:tc>
        <w:tc>
          <w:tcPr>
            <w:tcW w:w="2194" w:type="dxa"/>
            <w:tcBorders>
              <w:top w:val="nil"/>
              <w:left w:val="nil"/>
              <w:bottom w:val="single" w:color="auto" w:sz="4" w:space="0"/>
              <w:right w:val="single" w:color="auto" w:sz="4" w:space="0"/>
            </w:tcBorders>
            <w:shd w:val="clear" w:color="auto" w:fill="99CCFF"/>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其它类</w:t>
            </w:r>
          </w:p>
        </w:tc>
        <w:tc>
          <w:tcPr>
            <w:tcW w:w="455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除以上事件之外的其他产生或可能存在风险的特殊、离奇事件及预警类信息；</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同时根据公司业务特点和</w:t>
      </w:r>
      <w:r>
        <w:rPr>
          <w:rFonts w:hint="eastAsia" w:ascii="宋体" w:hAnsi="宋体" w:eastAsia="宋体" w:cs="宋体"/>
          <w:sz w:val="24"/>
          <w:szCs w:val="24"/>
          <w:lang w:val="en-US" w:eastAsia="zh-CN"/>
        </w:rPr>
        <w:t>现场</w:t>
      </w:r>
      <w:r>
        <w:rPr>
          <w:rFonts w:hint="eastAsia" w:ascii="宋体" w:hAnsi="宋体" w:eastAsia="宋体" w:cs="宋体"/>
          <w:sz w:val="24"/>
          <w:szCs w:val="24"/>
        </w:rPr>
        <w:t>需求，设定了三种特定事件类型：火灾类、盗抢类、电梯困人类。</w:t>
      </w:r>
    </w:p>
    <w:p>
      <w:pPr>
        <w:spacing w:line="360" w:lineRule="auto"/>
        <w:rPr>
          <w:rFonts w:hint="eastAsia" w:ascii="宋体" w:hAnsi="宋体" w:eastAsia="宋体" w:cs="宋体"/>
          <w:b/>
          <w:sz w:val="24"/>
          <w:szCs w:val="24"/>
          <w:lang w:eastAsia="zh-CN"/>
        </w:rPr>
        <w:sectPr>
          <w:headerReference r:id="rId5" w:type="default"/>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14" w:charSpace="0"/>
        </w:sectPr>
      </w:pPr>
    </w:p>
    <w:p>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3</w:t>
      </w:r>
      <w:r>
        <w:rPr>
          <w:rFonts w:hint="eastAsia" w:ascii="宋体" w:hAnsi="宋体" w:eastAsia="宋体" w:cs="宋体"/>
          <w:b/>
          <w:sz w:val="24"/>
          <w:szCs w:val="24"/>
        </w:rPr>
        <w:t>.2</w:t>
      </w:r>
      <w:r>
        <w:rPr>
          <w:rFonts w:hint="eastAsia" w:ascii="宋体" w:hAnsi="宋体" w:eastAsia="宋体" w:cs="宋体"/>
          <w:b/>
          <w:sz w:val="24"/>
          <w:szCs w:val="24"/>
          <w:lang w:val="en-US" w:eastAsia="zh-CN"/>
        </w:rPr>
        <w:t>事故</w:t>
      </w:r>
      <w:r>
        <w:rPr>
          <w:rFonts w:hint="eastAsia" w:ascii="宋体" w:hAnsi="宋体" w:eastAsia="宋体" w:cs="宋体"/>
          <w:b/>
          <w:sz w:val="24"/>
          <w:szCs w:val="24"/>
        </w:rPr>
        <w:t>分级标准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按照危害程度、影响范围等因素由高到低将事件分为三个级别，分别是Ⅰ级突发事件、Ⅱ级突发事件、Ⅲ级突发事件，各级别判断依据如下表：</w:t>
      </w:r>
    </w:p>
    <w:tbl>
      <w:tblPr>
        <w:tblStyle w:val="15"/>
        <w:tblW w:w="14454" w:type="dxa"/>
        <w:tblInd w:w="221" w:type="dxa"/>
        <w:tblLayout w:type="fixed"/>
        <w:tblCellMar>
          <w:top w:w="0" w:type="dxa"/>
          <w:left w:w="0" w:type="dxa"/>
          <w:bottom w:w="0" w:type="dxa"/>
          <w:right w:w="0" w:type="dxa"/>
        </w:tblCellMar>
      </w:tblPr>
      <w:tblGrid>
        <w:gridCol w:w="928"/>
        <w:gridCol w:w="1962"/>
        <w:gridCol w:w="1445"/>
        <w:gridCol w:w="1445"/>
        <w:gridCol w:w="1445"/>
        <w:gridCol w:w="1445"/>
        <w:gridCol w:w="1445"/>
        <w:gridCol w:w="1445"/>
        <w:gridCol w:w="1445"/>
        <w:gridCol w:w="1449"/>
      </w:tblGrid>
      <w:tr>
        <w:tblPrEx>
          <w:tblCellMar>
            <w:top w:w="0" w:type="dxa"/>
            <w:left w:w="0" w:type="dxa"/>
            <w:bottom w:w="0" w:type="dxa"/>
            <w:right w:w="0" w:type="dxa"/>
          </w:tblCellMar>
        </w:tblPrEx>
        <w:trPr>
          <w:trHeight w:val="611" w:hRule="atLeast"/>
        </w:trPr>
        <w:tc>
          <w:tcPr>
            <w:tcW w:w="9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分级</w:t>
            </w:r>
          </w:p>
        </w:tc>
        <w:tc>
          <w:tcPr>
            <w:tcW w:w="19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员工类</w:t>
            </w:r>
          </w:p>
        </w:tc>
        <w:tc>
          <w:tcPr>
            <w:tcW w:w="14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客户及第三方人员类</w:t>
            </w:r>
          </w:p>
        </w:tc>
        <w:tc>
          <w:tcPr>
            <w:tcW w:w="14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财产类</w:t>
            </w:r>
          </w:p>
        </w:tc>
        <w:tc>
          <w:tcPr>
            <w:tcW w:w="14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公共类</w:t>
            </w:r>
          </w:p>
        </w:tc>
        <w:tc>
          <w:tcPr>
            <w:tcW w:w="14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媒体类</w:t>
            </w:r>
          </w:p>
        </w:tc>
        <w:tc>
          <w:tcPr>
            <w:tcW w:w="14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法务类</w:t>
            </w:r>
          </w:p>
        </w:tc>
        <w:tc>
          <w:tcPr>
            <w:tcW w:w="14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政府类</w:t>
            </w:r>
          </w:p>
        </w:tc>
        <w:tc>
          <w:tcPr>
            <w:tcW w:w="14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投诉类</w:t>
            </w:r>
          </w:p>
        </w:tc>
        <w:tc>
          <w:tcPr>
            <w:tcW w:w="144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40" w:lineRule="auto"/>
              <w:rPr>
                <w:rFonts w:hint="eastAsia" w:ascii="宋体" w:hAnsi="宋体" w:eastAsia="宋体" w:cs="宋体"/>
                <w:sz w:val="24"/>
                <w:szCs w:val="24"/>
              </w:rPr>
            </w:pPr>
            <w:r>
              <w:rPr>
                <w:rFonts w:hint="eastAsia" w:ascii="宋体" w:hAnsi="宋体" w:eastAsia="宋体" w:cs="宋体"/>
                <w:sz w:val="24"/>
                <w:szCs w:val="24"/>
              </w:rPr>
              <w:t>特定/其它类</w:t>
            </w:r>
          </w:p>
        </w:tc>
      </w:tr>
      <w:tr>
        <w:tblPrEx>
          <w:tblCellMar>
            <w:top w:w="0" w:type="dxa"/>
            <w:left w:w="0" w:type="dxa"/>
            <w:bottom w:w="0" w:type="dxa"/>
            <w:right w:w="0" w:type="dxa"/>
          </w:tblCellMar>
        </w:tblPrEx>
        <w:trPr>
          <w:trHeight w:val="90" w:hRule="atLeast"/>
        </w:trPr>
        <w:tc>
          <w:tcPr>
            <w:tcW w:w="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Ⅰ级</w:t>
            </w:r>
          </w:p>
        </w:tc>
        <w:tc>
          <w:tcPr>
            <w:tcW w:w="196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1、1名（含）以上员工确认或可能意外死亡；</w:t>
            </w:r>
            <w:r>
              <w:rPr>
                <w:rFonts w:hint="eastAsia" w:ascii="宋体" w:hAnsi="宋体" w:eastAsia="宋体" w:cs="宋体"/>
                <w:sz w:val="24"/>
                <w:szCs w:val="24"/>
              </w:rPr>
              <w:br w:type="textWrapping"/>
            </w:r>
            <w:r>
              <w:rPr>
                <w:rFonts w:hint="eastAsia" w:ascii="宋体" w:hAnsi="宋体" w:eastAsia="宋体" w:cs="宋体"/>
                <w:sz w:val="24"/>
                <w:szCs w:val="24"/>
              </w:rPr>
              <w:t>2、1名（含）以上员工确诊高致命、高传染性疾病（如SARS、非典、高致命性禽流感等）；</w:t>
            </w:r>
            <w:r>
              <w:rPr>
                <w:rFonts w:hint="eastAsia" w:ascii="宋体" w:hAnsi="宋体" w:eastAsia="宋体" w:cs="宋体"/>
                <w:sz w:val="24"/>
                <w:szCs w:val="24"/>
              </w:rPr>
              <w:br w:type="textWrapping"/>
            </w:r>
            <w:r>
              <w:rPr>
                <w:rFonts w:hint="eastAsia" w:ascii="宋体" w:hAnsi="宋体" w:eastAsia="宋体" w:cs="宋体"/>
                <w:sz w:val="24"/>
                <w:szCs w:val="24"/>
              </w:rPr>
              <w:t>3、3名（含）以上员工因工意外受伤或突发疾病（含食物中毒）需住院治疗；</w:t>
            </w:r>
          </w:p>
          <w:p>
            <w:pPr>
              <w:spacing w:line="240" w:lineRule="auto"/>
              <w:rPr>
                <w:rFonts w:hint="eastAsia" w:ascii="宋体" w:hAnsi="宋体" w:eastAsia="宋体" w:cs="宋体"/>
                <w:sz w:val="24"/>
                <w:szCs w:val="24"/>
              </w:rPr>
            </w:pPr>
            <w:r>
              <w:rPr>
                <w:rFonts w:hint="eastAsia" w:ascii="宋体" w:hAnsi="宋体" w:eastAsia="宋体" w:cs="宋体"/>
                <w:sz w:val="24"/>
                <w:szCs w:val="24"/>
              </w:rPr>
              <w:t>4、员工严重违法违规事件：私刻公章、职务侵占、携款潜逃、员工违法被刑事拘留等；</w:t>
            </w:r>
          </w:p>
          <w:p>
            <w:pPr>
              <w:spacing w:line="240" w:lineRule="auto"/>
              <w:rPr>
                <w:rFonts w:hint="eastAsia" w:ascii="宋体" w:hAnsi="宋体" w:eastAsia="宋体" w:cs="宋体"/>
                <w:sz w:val="24"/>
                <w:szCs w:val="24"/>
              </w:rPr>
            </w:pPr>
            <w:r>
              <w:rPr>
                <w:rFonts w:hint="eastAsia" w:ascii="宋体" w:hAnsi="宋体" w:eastAsia="宋体" w:cs="宋体"/>
                <w:sz w:val="24"/>
                <w:szCs w:val="24"/>
              </w:rPr>
              <w:t>6、3名（含）以上员工集体违法违规事件；</w:t>
            </w:r>
          </w:p>
        </w:tc>
        <w:tc>
          <w:tcPr>
            <w:tcW w:w="14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1、1名（含）以上人员确认或可能意外死亡；</w:t>
            </w:r>
            <w:r>
              <w:rPr>
                <w:rFonts w:hint="eastAsia" w:ascii="宋体" w:hAnsi="宋体" w:eastAsia="宋体" w:cs="宋体"/>
                <w:sz w:val="24"/>
                <w:szCs w:val="24"/>
              </w:rPr>
              <w:br w:type="textWrapping"/>
            </w:r>
            <w:r>
              <w:rPr>
                <w:rFonts w:hint="eastAsia" w:ascii="宋体" w:hAnsi="宋体" w:eastAsia="宋体" w:cs="宋体"/>
                <w:sz w:val="24"/>
                <w:szCs w:val="24"/>
              </w:rPr>
              <w:t>2、1名（含）以上人员正常死亡，但对物业管理有直接影响；</w:t>
            </w:r>
          </w:p>
          <w:p>
            <w:pPr>
              <w:spacing w:line="240" w:lineRule="auto"/>
              <w:rPr>
                <w:rFonts w:hint="eastAsia" w:ascii="宋体" w:hAnsi="宋体" w:eastAsia="宋体" w:cs="宋体"/>
                <w:sz w:val="24"/>
                <w:szCs w:val="24"/>
              </w:rPr>
            </w:pPr>
            <w:r>
              <w:rPr>
                <w:rFonts w:hint="eastAsia" w:ascii="宋体" w:hAnsi="宋体" w:eastAsia="宋体" w:cs="宋体"/>
                <w:sz w:val="24"/>
                <w:szCs w:val="24"/>
              </w:rPr>
              <w:t>3、1名（含）以上人员确诊高致命、高传染性疾病（如SAS、非典、高致命性禽流感等）；</w:t>
            </w:r>
            <w:r>
              <w:rPr>
                <w:rFonts w:hint="eastAsia" w:ascii="宋体" w:hAnsi="宋体" w:eastAsia="宋体" w:cs="宋体"/>
                <w:sz w:val="24"/>
                <w:szCs w:val="24"/>
              </w:rPr>
              <w:br w:type="textWrapping"/>
            </w:r>
            <w:r>
              <w:rPr>
                <w:rFonts w:hint="eastAsia" w:ascii="宋体" w:hAnsi="宋体" w:eastAsia="宋体" w:cs="宋体"/>
                <w:sz w:val="24"/>
                <w:szCs w:val="24"/>
              </w:rPr>
              <w:t>3、3名（含）以上人员同时意外受伤需住院治疗</w:t>
            </w:r>
          </w:p>
        </w:tc>
        <w:tc>
          <w:tcPr>
            <w:tcW w:w="14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1、5万元（含）以上的经济损失；</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2、密级为绝密的公司保密信息泄露或处于失控状态；</w:t>
            </w:r>
          </w:p>
        </w:tc>
        <w:tc>
          <w:tcPr>
            <w:tcW w:w="14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1、公共服务意外中断24小时以上；</w:t>
            </w:r>
            <w:r>
              <w:rPr>
                <w:rFonts w:hint="eastAsia" w:ascii="宋体" w:hAnsi="宋体" w:eastAsia="宋体" w:cs="宋体"/>
                <w:sz w:val="24"/>
                <w:szCs w:val="24"/>
              </w:rPr>
              <w:br w:type="textWrapping"/>
            </w:r>
            <w:r>
              <w:rPr>
                <w:rFonts w:hint="eastAsia" w:ascii="宋体" w:hAnsi="宋体" w:eastAsia="宋体" w:cs="宋体"/>
                <w:sz w:val="24"/>
                <w:szCs w:val="24"/>
              </w:rPr>
              <w:t>2、市政部门提前正式通知，有计划性的停水、停电、停气等公共服务中断，且预计持续时间48小时（含）以上；</w:t>
            </w:r>
          </w:p>
          <w:p>
            <w:pPr>
              <w:spacing w:line="240" w:lineRule="auto"/>
              <w:rPr>
                <w:rFonts w:hint="eastAsia" w:ascii="宋体" w:hAnsi="宋体" w:eastAsia="宋体" w:cs="宋体"/>
                <w:sz w:val="24"/>
                <w:szCs w:val="24"/>
              </w:rPr>
            </w:pPr>
            <w:r>
              <w:rPr>
                <w:rFonts w:hint="eastAsia" w:ascii="宋体" w:hAnsi="宋体" w:eastAsia="宋体" w:cs="宋体"/>
                <w:sz w:val="24"/>
                <w:szCs w:val="24"/>
              </w:rPr>
              <w:t>3、空气/水源污染等环境事件；</w:t>
            </w:r>
          </w:p>
        </w:tc>
        <w:tc>
          <w:tcPr>
            <w:tcW w:w="14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1、国家级广播、电视台、报纸、杂志、门户网站（如搜狐、腾讯、新浪、网易等）采访，或进行了负面报道；</w:t>
            </w:r>
          </w:p>
          <w:p>
            <w:pPr>
              <w:spacing w:line="240" w:lineRule="auto"/>
              <w:rPr>
                <w:rFonts w:hint="eastAsia" w:ascii="宋体" w:hAnsi="宋体" w:eastAsia="宋体" w:cs="宋体"/>
                <w:sz w:val="24"/>
                <w:szCs w:val="24"/>
              </w:rPr>
            </w:pPr>
            <w:r>
              <w:rPr>
                <w:rFonts w:hint="eastAsia" w:ascii="宋体" w:hAnsi="宋体" w:eastAsia="宋体" w:cs="宋体"/>
                <w:sz w:val="24"/>
                <w:szCs w:val="24"/>
              </w:rPr>
              <w:t>2、100万粉丝（含）以上的大V针对我方进行负面宣传（微博微信等自媒体工具）</w:t>
            </w:r>
          </w:p>
          <w:p>
            <w:pPr>
              <w:spacing w:line="240" w:lineRule="auto"/>
              <w:rPr>
                <w:rFonts w:hint="eastAsia" w:ascii="宋体" w:hAnsi="宋体" w:eastAsia="宋体" w:cs="宋体"/>
                <w:sz w:val="24"/>
                <w:szCs w:val="24"/>
              </w:rPr>
            </w:pPr>
            <w:r>
              <w:rPr>
                <w:rFonts w:hint="eastAsia" w:ascii="宋体" w:hAnsi="宋体" w:eastAsia="宋体" w:cs="宋体"/>
                <w:sz w:val="24"/>
                <w:szCs w:val="24"/>
              </w:rPr>
              <w:t>3、客户因违建暴力抗法导致媒体曝光；</w:t>
            </w:r>
          </w:p>
          <w:p>
            <w:pPr>
              <w:spacing w:line="240" w:lineRule="auto"/>
              <w:rPr>
                <w:rFonts w:hint="eastAsia" w:ascii="宋体" w:hAnsi="宋体" w:eastAsia="宋体" w:cs="宋体"/>
                <w:sz w:val="24"/>
                <w:szCs w:val="24"/>
              </w:rPr>
            </w:pPr>
            <w:r>
              <w:rPr>
                <w:rFonts w:hint="eastAsia" w:ascii="宋体" w:hAnsi="宋体" w:eastAsia="宋体" w:cs="宋体"/>
                <w:sz w:val="24"/>
                <w:szCs w:val="24"/>
              </w:rPr>
              <w:t>4、业主/租户恶性违法引起媒体曝光；</w:t>
            </w:r>
          </w:p>
        </w:tc>
        <w:tc>
          <w:tcPr>
            <w:tcW w:w="14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1、金额5万（含）以上的法律诉讼事件（书面或口头）；</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2、可能导致项目终止的重大法律事件；</w:t>
            </w:r>
          </w:p>
        </w:tc>
        <w:tc>
          <w:tcPr>
            <w:tcW w:w="14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1、国家部委级考察、稽核、到访等</w:t>
            </w:r>
            <w:r>
              <w:rPr>
                <w:rFonts w:hint="eastAsia" w:ascii="宋体" w:hAnsi="宋体" w:eastAsia="宋体" w:cs="宋体"/>
                <w:sz w:val="24"/>
                <w:szCs w:val="24"/>
              </w:rPr>
              <w:br w:type="textWrapping"/>
            </w:r>
            <w:r>
              <w:rPr>
                <w:rFonts w:hint="eastAsia" w:ascii="宋体" w:hAnsi="宋体" w:eastAsia="宋体" w:cs="宋体"/>
                <w:sz w:val="24"/>
                <w:szCs w:val="24"/>
              </w:rPr>
              <w:t>2、省级政府部门到访、办案或检查</w:t>
            </w:r>
          </w:p>
          <w:p>
            <w:pPr>
              <w:spacing w:line="240" w:lineRule="auto"/>
              <w:rPr>
                <w:rFonts w:hint="eastAsia" w:ascii="宋体" w:hAnsi="宋体" w:eastAsia="宋体" w:cs="宋体"/>
                <w:sz w:val="24"/>
                <w:szCs w:val="24"/>
              </w:rPr>
            </w:pPr>
            <w:r>
              <w:rPr>
                <w:rFonts w:hint="eastAsia" w:ascii="宋体" w:hAnsi="宋体" w:eastAsia="宋体" w:cs="宋体"/>
                <w:sz w:val="24"/>
                <w:szCs w:val="24"/>
              </w:rPr>
              <w:t>3、业主/租户在服务区域内及周边与政府部门（或居委会）发生肢体冲突</w:t>
            </w:r>
          </w:p>
          <w:p>
            <w:pPr>
              <w:spacing w:line="240" w:lineRule="auto"/>
              <w:rPr>
                <w:rFonts w:hint="eastAsia" w:ascii="宋体" w:hAnsi="宋体" w:eastAsia="宋体" w:cs="宋体"/>
                <w:sz w:val="24"/>
                <w:szCs w:val="24"/>
              </w:rPr>
            </w:pPr>
            <w:r>
              <w:rPr>
                <w:rFonts w:hint="eastAsia" w:ascii="宋体" w:hAnsi="宋体" w:eastAsia="宋体" w:cs="宋体"/>
                <w:sz w:val="24"/>
                <w:szCs w:val="24"/>
              </w:rPr>
              <w:t>4、被政府部门下达行政处罚</w:t>
            </w:r>
          </w:p>
        </w:tc>
        <w:tc>
          <w:tcPr>
            <w:tcW w:w="1445" w:type="dxa"/>
            <w:tcBorders>
              <w:top w:val="nil"/>
              <w:left w:val="nil"/>
              <w:bottom w:val="single" w:color="auto" w:sz="8" w:space="0"/>
              <w:right w:val="single" w:color="auto" w:sz="8" w:space="0"/>
            </w:tcBorders>
            <w:tcMar>
              <w:top w:w="0" w:type="dxa"/>
              <w:left w:w="108" w:type="dxa"/>
              <w:bottom w:w="0" w:type="dxa"/>
              <w:right w:w="108" w:type="dxa"/>
            </w:tcMar>
          </w:tcPr>
          <w:p>
            <w:pPr>
              <w:spacing w:line="240" w:lineRule="auto"/>
              <w:rPr>
                <w:rFonts w:hint="eastAsia" w:ascii="宋体" w:hAnsi="宋体" w:eastAsia="宋体" w:cs="宋体"/>
                <w:sz w:val="24"/>
                <w:szCs w:val="24"/>
              </w:rPr>
            </w:pPr>
            <w:r>
              <w:rPr>
                <w:rFonts w:hint="eastAsia" w:ascii="宋体" w:hAnsi="宋体" w:eastAsia="宋体" w:cs="宋体"/>
                <w:sz w:val="24"/>
                <w:szCs w:val="24"/>
              </w:rPr>
              <w:t>通用部分：</w:t>
            </w:r>
          </w:p>
          <w:p>
            <w:pPr>
              <w:numPr>
                <w:numId w:val="0"/>
              </w:numPr>
              <w:spacing w:line="240" w:lineRule="auto"/>
              <w:ind w:leftChars="0"/>
              <w:jc w:val="both"/>
              <w:rPr>
                <w:rFonts w:hint="eastAsia" w:ascii="宋体" w:hAnsi="宋体" w:eastAsia="宋体" w:cs="宋体"/>
                <w:sz w:val="24"/>
                <w:szCs w:val="24"/>
              </w:rPr>
            </w:pPr>
            <w:r>
              <w:rPr>
                <w:rFonts w:hint="eastAsia" w:ascii="宋体" w:hAnsi="宋体" w:eastAsia="宋体" w:cs="宋体"/>
                <w:sz w:val="24"/>
                <w:szCs w:val="24"/>
              </w:rPr>
              <w:t>50人（含）以上针对同一问题的讨薪；</w:t>
            </w:r>
          </w:p>
          <w:p>
            <w:pPr>
              <w:spacing w:line="240" w:lineRule="auto"/>
              <w:rPr>
                <w:rFonts w:hint="eastAsia" w:ascii="宋体" w:hAnsi="宋体" w:eastAsia="宋体" w:cs="宋体"/>
                <w:sz w:val="24"/>
                <w:szCs w:val="24"/>
              </w:rPr>
            </w:pPr>
            <w:r>
              <w:rPr>
                <w:rFonts w:hint="eastAsia" w:ascii="宋体" w:hAnsi="宋体" w:eastAsia="宋体" w:cs="宋体"/>
                <w:sz w:val="24"/>
                <w:szCs w:val="24"/>
              </w:rPr>
              <w:t>住宅相关：</w:t>
            </w:r>
          </w:p>
          <w:p>
            <w:pPr>
              <w:numPr>
                <w:numId w:val="0"/>
              </w:numPr>
              <w:spacing w:line="240" w:lineRule="auto"/>
              <w:ind w:leftChars="0"/>
              <w:jc w:val="both"/>
              <w:rPr>
                <w:rFonts w:hint="eastAsia" w:ascii="宋体" w:hAnsi="宋体" w:eastAsia="宋体" w:cs="宋体"/>
                <w:sz w:val="24"/>
                <w:szCs w:val="24"/>
              </w:rPr>
            </w:pPr>
            <w:r>
              <w:rPr>
                <w:rFonts w:hint="eastAsia" w:ascii="宋体" w:hAnsi="宋体" w:eastAsia="宋体" w:cs="宋体"/>
                <w:sz w:val="24"/>
                <w:szCs w:val="24"/>
              </w:rPr>
              <w:t>50人针对同一问题的维权、投诉；</w:t>
            </w:r>
          </w:p>
          <w:p>
            <w:pPr>
              <w:numPr>
                <w:numId w:val="0"/>
              </w:numPr>
              <w:spacing w:line="240" w:lineRule="auto"/>
              <w:ind w:leftChars="0"/>
              <w:jc w:val="both"/>
              <w:rPr>
                <w:rFonts w:hint="eastAsia" w:ascii="宋体" w:hAnsi="宋体" w:eastAsia="宋体" w:cs="宋体"/>
                <w:sz w:val="24"/>
                <w:szCs w:val="24"/>
              </w:rPr>
            </w:pPr>
            <w:r>
              <w:rPr>
                <w:rFonts w:hint="eastAsia" w:ascii="宋体" w:hAnsi="宋体" w:eastAsia="宋体" w:cs="宋体"/>
                <w:sz w:val="24"/>
                <w:szCs w:val="24"/>
              </w:rPr>
              <w:t>受到业主委员会书面批评或占1/2以上委员明确批评；</w:t>
            </w:r>
          </w:p>
          <w:p>
            <w:pPr>
              <w:numPr>
                <w:numId w:val="0"/>
              </w:numPr>
              <w:spacing w:line="240" w:lineRule="auto"/>
              <w:ind w:leftChars="0"/>
              <w:jc w:val="both"/>
              <w:rPr>
                <w:rFonts w:hint="eastAsia" w:ascii="宋体" w:hAnsi="宋体" w:eastAsia="宋体" w:cs="宋体"/>
                <w:sz w:val="24"/>
                <w:szCs w:val="24"/>
              </w:rPr>
            </w:pPr>
            <w:r>
              <w:rPr>
                <w:rFonts w:hint="eastAsia" w:ascii="宋体" w:hAnsi="宋体" w:eastAsia="宋体" w:cs="宋体"/>
                <w:sz w:val="24"/>
                <w:szCs w:val="24"/>
              </w:rPr>
              <w:t>召开非预期的业主大会或业主大会可能形成对我司不力决议的；</w:t>
            </w:r>
          </w:p>
          <w:p>
            <w:pPr>
              <w:numPr>
                <w:numId w:val="0"/>
              </w:numPr>
              <w:spacing w:line="240" w:lineRule="auto"/>
              <w:ind w:leftChars="0"/>
              <w:jc w:val="both"/>
              <w:rPr>
                <w:rFonts w:hint="eastAsia" w:ascii="宋体" w:hAnsi="宋体" w:eastAsia="宋体" w:cs="宋体"/>
                <w:sz w:val="24"/>
                <w:szCs w:val="24"/>
              </w:rPr>
            </w:pPr>
            <w:r>
              <w:rPr>
                <w:rFonts w:hint="eastAsia" w:ascii="宋体" w:hAnsi="宋体" w:eastAsia="宋体" w:cs="宋体"/>
                <w:sz w:val="24"/>
                <w:szCs w:val="24"/>
              </w:rPr>
              <w:t>因房屋销售、车位销售等引发的群诉；</w:t>
            </w:r>
          </w:p>
          <w:p>
            <w:pPr>
              <w:numPr>
                <w:numId w:val="0"/>
              </w:numPr>
              <w:spacing w:line="240" w:lineRule="auto"/>
              <w:ind w:leftChars="0"/>
              <w:jc w:val="both"/>
              <w:rPr>
                <w:rFonts w:hint="eastAsia" w:ascii="宋体" w:hAnsi="宋体" w:eastAsia="宋体" w:cs="宋体"/>
                <w:sz w:val="24"/>
                <w:szCs w:val="24"/>
              </w:rPr>
            </w:pPr>
            <w:r>
              <w:rPr>
                <w:rFonts w:hint="eastAsia" w:ascii="宋体" w:hAnsi="宋体" w:eastAsia="宋体" w:cs="宋体"/>
                <w:sz w:val="24"/>
                <w:szCs w:val="24"/>
              </w:rPr>
              <w:t>小区业主因社区配套、红线内外不利因素、房屋质量等问题引发的群诉；</w:t>
            </w:r>
          </w:p>
          <w:p>
            <w:pPr>
              <w:spacing w:line="240" w:lineRule="auto"/>
              <w:rPr>
                <w:rFonts w:hint="eastAsia" w:ascii="宋体" w:hAnsi="宋体" w:eastAsia="宋体" w:cs="宋体"/>
                <w:sz w:val="24"/>
                <w:szCs w:val="24"/>
              </w:rPr>
            </w:pPr>
            <w:r>
              <w:rPr>
                <w:rFonts w:hint="eastAsia" w:ascii="宋体" w:hAnsi="宋体" w:eastAsia="宋体" w:cs="宋体"/>
                <w:sz w:val="24"/>
                <w:szCs w:val="24"/>
              </w:rPr>
              <w:t>大客户相关：</w:t>
            </w:r>
          </w:p>
          <w:p>
            <w:pPr>
              <w:numPr>
                <w:numId w:val="0"/>
              </w:numPr>
              <w:spacing w:line="240" w:lineRule="auto"/>
              <w:ind w:leftChars="0"/>
              <w:jc w:val="both"/>
              <w:rPr>
                <w:rFonts w:hint="eastAsia" w:ascii="宋体" w:hAnsi="宋体" w:eastAsia="宋体" w:cs="宋体"/>
                <w:sz w:val="24"/>
                <w:szCs w:val="24"/>
              </w:rPr>
            </w:pPr>
            <w:r>
              <w:rPr>
                <w:rFonts w:hint="eastAsia" w:ascii="宋体" w:hAnsi="宋体" w:eastAsia="宋体" w:cs="宋体"/>
                <w:sz w:val="24"/>
                <w:szCs w:val="24"/>
              </w:rPr>
              <w:t>客户书面及公开化的维权、投诉；</w:t>
            </w:r>
          </w:p>
        </w:tc>
        <w:tc>
          <w:tcPr>
            <w:tcW w:w="1449" w:type="dxa"/>
            <w:tcBorders>
              <w:top w:val="nil"/>
              <w:left w:val="nil"/>
              <w:bottom w:val="single" w:color="auto" w:sz="8" w:space="0"/>
              <w:right w:val="single" w:color="auto" w:sz="8" w:space="0"/>
            </w:tcBorders>
            <w:tcMar>
              <w:top w:w="0" w:type="dxa"/>
              <w:left w:w="108" w:type="dxa"/>
              <w:bottom w:w="0" w:type="dxa"/>
              <w:right w:w="108" w:type="dxa"/>
            </w:tcMar>
          </w:tcPr>
          <w:p>
            <w:pPr>
              <w:spacing w:line="240" w:lineRule="auto"/>
              <w:rPr>
                <w:rFonts w:hint="eastAsia" w:ascii="宋体" w:hAnsi="宋体" w:eastAsia="宋体" w:cs="宋体"/>
                <w:sz w:val="24"/>
                <w:szCs w:val="24"/>
              </w:rPr>
            </w:pPr>
            <w:r>
              <w:rPr>
                <w:rFonts w:hint="eastAsia" w:ascii="宋体" w:hAnsi="宋体" w:eastAsia="宋体" w:cs="宋体"/>
                <w:sz w:val="24"/>
                <w:szCs w:val="24"/>
              </w:rPr>
              <w:t>1、其它类事件是指对物业管理造成影响并且不在常规8大类别及特定三种类别内的事件，例如：项目退出等。级别的判定根据实际情况及对公司的影响程度进行。</w:t>
            </w:r>
          </w:p>
          <w:p>
            <w:pPr>
              <w:spacing w:line="24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1266" w:hRule="atLeast"/>
        </w:trPr>
        <w:tc>
          <w:tcPr>
            <w:tcW w:w="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Ⅱ级</w:t>
            </w:r>
          </w:p>
        </w:tc>
        <w:tc>
          <w:tcPr>
            <w:tcW w:w="196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1、1-2名员工因工受到意外伤害或突发疾病并需住院治疗；</w:t>
            </w:r>
            <w:r>
              <w:rPr>
                <w:rFonts w:hint="eastAsia" w:ascii="宋体" w:hAnsi="宋体" w:eastAsia="宋体" w:cs="宋体"/>
                <w:sz w:val="24"/>
                <w:szCs w:val="24"/>
              </w:rPr>
              <w:br w:type="textWrapping"/>
            </w:r>
            <w:r>
              <w:rPr>
                <w:rFonts w:hint="eastAsia" w:ascii="宋体" w:hAnsi="宋体" w:eastAsia="宋体" w:cs="宋体"/>
                <w:sz w:val="24"/>
                <w:szCs w:val="24"/>
              </w:rPr>
              <w:t>2、2名员工违法违规事件；</w:t>
            </w:r>
          </w:p>
        </w:tc>
        <w:tc>
          <w:tcPr>
            <w:tcW w:w="14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1-2名人员意外受伤需住院治疗；</w:t>
            </w:r>
          </w:p>
        </w:tc>
        <w:tc>
          <w:tcPr>
            <w:tcW w:w="14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1、5千元（含）至5万元的经济损失；</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2、密级为机密的公司保密信息泄露或处于失控状态；</w:t>
            </w:r>
          </w:p>
        </w:tc>
        <w:tc>
          <w:tcPr>
            <w:tcW w:w="14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1、物业服务意外中断4小时至24小时（含）</w:t>
            </w:r>
            <w:r>
              <w:rPr>
                <w:rFonts w:hint="eastAsia" w:ascii="宋体" w:hAnsi="宋体" w:eastAsia="宋体" w:cs="宋体"/>
                <w:sz w:val="24"/>
                <w:szCs w:val="24"/>
              </w:rPr>
              <w:br w:type="textWrapping"/>
            </w:r>
            <w:r>
              <w:rPr>
                <w:rFonts w:hint="eastAsia" w:ascii="宋体" w:hAnsi="宋体" w:eastAsia="宋体" w:cs="宋体"/>
                <w:sz w:val="24"/>
                <w:szCs w:val="24"/>
              </w:rPr>
              <w:t>2、市政部门提前正式通知，有计划性的停水、停电、停气等公共服务中断，且预计持续时间24小时（含）-48小时；</w:t>
            </w:r>
          </w:p>
        </w:tc>
        <w:tc>
          <w:tcPr>
            <w:tcW w:w="14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1、省级（含）以上电视台、广播、报纸、杂志、网络媒体采访，或进行了负面报道；</w:t>
            </w:r>
            <w:r>
              <w:rPr>
                <w:rFonts w:hint="eastAsia" w:ascii="宋体" w:hAnsi="宋体" w:eastAsia="宋体" w:cs="宋体"/>
                <w:sz w:val="24"/>
                <w:szCs w:val="24"/>
              </w:rPr>
              <w:br w:type="textWrapping"/>
            </w:r>
            <w:r>
              <w:rPr>
                <w:rFonts w:hint="eastAsia" w:ascii="宋体" w:hAnsi="宋体" w:eastAsia="宋体" w:cs="宋体"/>
                <w:sz w:val="24"/>
                <w:szCs w:val="24"/>
              </w:rPr>
              <w:t>2、10万粉丝（含）至100万粉丝的大V针对我方进行负面宣传（微博微信等自媒体工具）；</w:t>
            </w:r>
          </w:p>
        </w:tc>
        <w:tc>
          <w:tcPr>
            <w:tcW w:w="14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1、金额1（含）-5万的法律诉讼事件（书面或口头）；</w:t>
            </w:r>
          </w:p>
        </w:tc>
        <w:tc>
          <w:tcPr>
            <w:tcW w:w="14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市级政府部门到访、办案或检查</w:t>
            </w:r>
          </w:p>
        </w:tc>
        <w:tc>
          <w:tcPr>
            <w:tcW w:w="1445" w:type="dxa"/>
            <w:tcBorders>
              <w:top w:val="nil"/>
              <w:left w:val="nil"/>
              <w:bottom w:val="single" w:color="auto" w:sz="8" w:space="0"/>
              <w:right w:val="single" w:color="auto" w:sz="8" w:space="0"/>
            </w:tcBorders>
            <w:tcMar>
              <w:top w:w="0" w:type="dxa"/>
              <w:left w:w="108" w:type="dxa"/>
              <w:bottom w:w="0" w:type="dxa"/>
              <w:right w:w="108" w:type="dxa"/>
            </w:tcMar>
          </w:tcPr>
          <w:p>
            <w:pPr>
              <w:numPr>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rPr>
              <w:t>通用部分：</w:t>
            </w:r>
          </w:p>
          <w:p>
            <w:pPr>
              <w:numPr>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rPr>
              <w:t>20人（含）~50人针对同一问题的讨薪；</w:t>
            </w:r>
          </w:p>
          <w:p>
            <w:pPr>
              <w:numPr>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rPr>
              <w:t>住宅相关：</w:t>
            </w:r>
          </w:p>
          <w:p>
            <w:pPr>
              <w:numPr>
                <w:numId w:val="0"/>
              </w:numPr>
              <w:spacing w:line="240" w:lineRule="auto"/>
              <w:ind w:leftChars="0"/>
              <w:jc w:val="both"/>
              <w:rPr>
                <w:rFonts w:hint="eastAsia" w:ascii="宋体" w:hAnsi="宋体" w:eastAsia="宋体" w:cs="宋体"/>
                <w:sz w:val="24"/>
                <w:szCs w:val="24"/>
              </w:rPr>
            </w:pPr>
            <w:r>
              <w:rPr>
                <w:rFonts w:hint="eastAsia" w:ascii="宋体" w:hAnsi="宋体" w:eastAsia="宋体" w:cs="宋体"/>
                <w:sz w:val="24"/>
                <w:szCs w:val="24"/>
              </w:rPr>
              <w:t>20-50人针对同一问题的维权、投诉；</w:t>
            </w:r>
          </w:p>
          <w:p>
            <w:pPr>
              <w:numPr>
                <w:numId w:val="0"/>
              </w:numPr>
              <w:spacing w:line="240" w:lineRule="auto"/>
              <w:ind w:leftChars="0"/>
              <w:rPr>
                <w:rFonts w:hint="eastAsia" w:ascii="宋体" w:hAnsi="宋体" w:eastAsia="宋体" w:cs="宋体"/>
                <w:sz w:val="24"/>
                <w:szCs w:val="24"/>
              </w:rPr>
            </w:pPr>
            <w:r>
              <w:rPr>
                <w:rFonts w:hint="eastAsia" w:ascii="宋体" w:hAnsi="宋体" w:eastAsia="宋体" w:cs="宋体"/>
                <w:sz w:val="24"/>
                <w:szCs w:val="24"/>
              </w:rPr>
              <w:t>大客户相关：</w:t>
            </w:r>
          </w:p>
          <w:p>
            <w:pPr>
              <w:numPr>
                <w:numId w:val="0"/>
              </w:numPr>
              <w:spacing w:line="240" w:lineRule="auto"/>
              <w:ind w:leftChars="0"/>
              <w:jc w:val="both"/>
              <w:rPr>
                <w:rFonts w:hint="eastAsia" w:ascii="宋体" w:hAnsi="宋体" w:eastAsia="宋体" w:cs="宋体"/>
                <w:sz w:val="24"/>
                <w:szCs w:val="24"/>
              </w:rPr>
            </w:pPr>
            <w:r>
              <w:rPr>
                <w:rFonts w:hint="eastAsia" w:ascii="宋体" w:hAnsi="宋体" w:eastAsia="宋体" w:cs="宋体"/>
                <w:sz w:val="24"/>
                <w:szCs w:val="24"/>
              </w:rPr>
              <w:t>客户的口头维权、投诉；</w:t>
            </w:r>
          </w:p>
        </w:tc>
        <w:tc>
          <w:tcPr>
            <w:tcW w:w="1449" w:type="dxa"/>
            <w:tcBorders>
              <w:top w:val="nil"/>
              <w:left w:val="nil"/>
              <w:bottom w:val="single" w:color="auto" w:sz="8" w:space="0"/>
              <w:right w:val="single" w:color="auto" w:sz="8" w:space="0"/>
            </w:tcBorders>
            <w:tcMar>
              <w:top w:w="0" w:type="dxa"/>
              <w:left w:w="108" w:type="dxa"/>
              <w:bottom w:w="0" w:type="dxa"/>
              <w:right w:w="108" w:type="dxa"/>
            </w:tcMar>
          </w:tcPr>
          <w:p>
            <w:pPr>
              <w:spacing w:line="24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959" w:hRule="atLeast"/>
        </w:trPr>
        <w:tc>
          <w:tcPr>
            <w:tcW w:w="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Ⅲ级</w:t>
            </w:r>
          </w:p>
        </w:tc>
        <w:tc>
          <w:tcPr>
            <w:tcW w:w="196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1、1名及以上员工因工受伤，需要就医治疗或留院观察；</w:t>
            </w:r>
            <w:r>
              <w:rPr>
                <w:rFonts w:hint="eastAsia" w:ascii="宋体" w:hAnsi="宋体" w:eastAsia="宋体" w:cs="宋体"/>
                <w:sz w:val="24"/>
                <w:szCs w:val="24"/>
              </w:rPr>
              <w:br w:type="textWrapping"/>
            </w:r>
            <w:r>
              <w:rPr>
                <w:rFonts w:hint="eastAsia" w:ascii="宋体" w:hAnsi="宋体" w:eastAsia="宋体" w:cs="宋体"/>
                <w:sz w:val="24"/>
                <w:szCs w:val="24"/>
              </w:rPr>
              <w:t>2、1名员工违法违规事件；</w:t>
            </w:r>
          </w:p>
        </w:tc>
        <w:tc>
          <w:tcPr>
            <w:tcW w:w="14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1名人员意外受伤需要就医或留院观察但无需住院治疗；</w:t>
            </w:r>
          </w:p>
        </w:tc>
        <w:tc>
          <w:tcPr>
            <w:tcW w:w="14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1、5千元以下的经济损失；</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2、密级为内部公开的公司保密信息泄露或处于失控状态；</w:t>
            </w:r>
          </w:p>
        </w:tc>
        <w:tc>
          <w:tcPr>
            <w:tcW w:w="14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1、物业服务意外中断4小时（含）以内；</w:t>
            </w:r>
          </w:p>
          <w:p>
            <w:pPr>
              <w:spacing w:line="240" w:lineRule="auto"/>
              <w:rPr>
                <w:rFonts w:hint="eastAsia" w:ascii="宋体" w:hAnsi="宋体" w:eastAsia="宋体" w:cs="宋体"/>
                <w:sz w:val="24"/>
                <w:szCs w:val="24"/>
              </w:rPr>
            </w:pPr>
            <w:r>
              <w:rPr>
                <w:rFonts w:hint="eastAsia" w:ascii="宋体" w:hAnsi="宋体" w:eastAsia="宋体" w:cs="宋体"/>
                <w:sz w:val="24"/>
                <w:szCs w:val="24"/>
              </w:rPr>
              <w:t>2、市政部门提前正式通知，有计划性的停水、停电、停气等公共服务中断，且预计持续时间8小时（含）-24小时；</w:t>
            </w:r>
          </w:p>
          <w:p>
            <w:pPr>
              <w:spacing w:line="240" w:lineRule="auto"/>
              <w:rPr>
                <w:rFonts w:hint="eastAsia" w:ascii="宋体" w:hAnsi="宋体" w:eastAsia="宋体" w:cs="宋体"/>
                <w:sz w:val="24"/>
                <w:szCs w:val="24"/>
              </w:rPr>
            </w:pPr>
            <w:r>
              <w:rPr>
                <w:rFonts w:hint="eastAsia" w:ascii="宋体" w:hAnsi="宋体" w:eastAsia="宋体" w:cs="宋体"/>
                <w:sz w:val="24"/>
                <w:szCs w:val="24"/>
              </w:rPr>
              <w:t>4、公共安全及公共秩序类事件；</w:t>
            </w:r>
          </w:p>
        </w:tc>
        <w:tc>
          <w:tcPr>
            <w:tcW w:w="14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1、市级（含）以下广播、电视台、报纸、杂志、网络媒体采访，或进行了负面报道；</w:t>
            </w:r>
            <w:r>
              <w:rPr>
                <w:rFonts w:hint="eastAsia" w:ascii="宋体" w:hAnsi="宋体" w:eastAsia="宋体" w:cs="宋体"/>
                <w:sz w:val="24"/>
                <w:szCs w:val="24"/>
              </w:rPr>
              <w:br w:type="textWrapping"/>
            </w:r>
            <w:r>
              <w:rPr>
                <w:rFonts w:hint="eastAsia" w:ascii="宋体" w:hAnsi="宋体" w:eastAsia="宋体" w:cs="宋体"/>
                <w:sz w:val="24"/>
                <w:szCs w:val="24"/>
              </w:rPr>
              <w:t>2、1万粉丝（含）至10万粉丝的自媒体人针对我方进行负面宣传（微博微信等自媒体工具）；</w:t>
            </w:r>
          </w:p>
        </w:tc>
        <w:tc>
          <w:tcPr>
            <w:tcW w:w="14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1、金额1万以下的法律诉讼事件（书面或口头）；</w:t>
            </w:r>
          </w:p>
        </w:tc>
        <w:tc>
          <w:tcPr>
            <w:tcW w:w="14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市级以下政府部门到访、办案或检查</w:t>
            </w:r>
          </w:p>
        </w:tc>
        <w:tc>
          <w:tcPr>
            <w:tcW w:w="14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1、10人（含）~20人针对同一问题的讨薪；</w:t>
            </w:r>
          </w:p>
          <w:p>
            <w:pPr>
              <w:spacing w:line="240" w:lineRule="auto"/>
              <w:rPr>
                <w:rFonts w:hint="eastAsia" w:ascii="宋体" w:hAnsi="宋体" w:eastAsia="宋体" w:cs="宋体"/>
                <w:sz w:val="24"/>
                <w:szCs w:val="24"/>
              </w:rPr>
            </w:pPr>
            <w:r>
              <w:rPr>
                <w:rFonts w:hint="eastAsia" w:ascii="宋体" w:hAnsi="宋体" w:eastAsia="宋体" w:cs="宋体"/>
                <w:sz w:val="24"/>
                <w:szCs w:val="24"/>
              </w:rPr>
              <w:t>2、10-20人针对同一问题的维权、投诉；</w:t>
            </w:r>
          </w:p>
        </w:tc>
        <w:tc>
          <w:tcPr>
            <w:tcW w:w="1449" w:type="dxa"/>
            <w:tcBorders>
              <w:top w:val="nil"/>
              <w:left w:val="nil"/>
              <w:bottom w:val="single" w:color="auto" w:sz="8" w:space="0"/>
              <w:right w:val="single" w:color="auto" w:sz="8" w:space="0"/>
            </w:tcBorders>
            <w:tcMar>
              <w:top w:w="0" w:type="dxa"/>
              <w:left w:w="108" w:type="dxa"/>
              <w:bottom w:w="0" w:type="dxa"/>
              <w:right w:w="108" w:type="dxa"/>
            </w:tcMar>
          </w:tcPr>
          <w:p>
            <w:pPr>
              <w:spacing w:line="240" w:lineRule="auto"/>
              <w:rPr>
                <w:rFonts w:hint="eastAsia" w:ascii="宋体" w:hAnsi="宋体" w:eastAsia="宋体" w:cs="宋体"/>
                <w:sz w:val="24"/>
                <w:szCs w:val="24"/>
              </w:rPr>
            </w:pPr>
          </w:p>
        </w:tc>
      </w:tr>
    </w:tbl>
    <w:p>
      <w:pPr>
        <w:spacing w:line="360" w:lineRule="auto"/>
        <w:rPr>
          <w:rFonts w:hint="eastAsia" w:ascii="宋体" w:hAnsi="宋体" w:eastAsia="宋体" w:cs="宋体"/>
          <w:b/>
          <w:sz w:val="24"/>
          <w:szCs w:val="24"/>
          <w:lang w:eastAsia="zh-CN"/>
        </w:rPr>
        <w:sectPr>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14" w:charSpace="0"/>
        </w:sectPr>
      </w:pPr>
    </w:p>
    <w:p>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3</w:t>
      </w:r>
      <w:r>
        <w:rPr>
          <w:rFonts w:hint="eastAsia" w:ascii="宋体" w:hAnsi="宋体" w:eastAsia="宋体" w:cs="宋体"/>
          <w:b/>
          <w:sz w:val="24"/>
          <w:szCs w:val="24"/>
        </w:rPr>
        <w:t>.3 突发事件级别、类型判断依据</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.3.1突发事件根据该事件所属的等级、类型和发生的时间顺序三个条件进行判断：</w:t>
      </w:r>
    </w:p>
    <w:p>
      <w:pPr>
        <w:widowControl w:val="0"/>
        <w:numPr>
          <w:ilvl w:val="0"/>
          <w:numId w:val="2"/>
        </w:numPr>
        <w:spacing w:line="360" w:lineRule="auto"/>
        <w:ind w:left="840"/>
        <w:rPr>
          <w:rFonts w:hint="eastAsia" w:ascii="宋体" w:hAnsi="宋体" w:eastAsia="宋体" w:cs="宋体"/>
          <w:sz w:val="24"/>
          <w:szCs w:val="24"/>
        </w:rPr>
      </w:pPr>
      <w:r>
        <w:rPr>
          <w:rFonts w:hint="eastAsia" w:ascii="宋体" w:hAnsi="宋体" w:eastAsia="宋体" w:cs="宋体"/>
          <w:sz w:val="24"/>
          <w:szCs w:val="24"/>
        </w:rPr>
        <w:t>突发事件的等级是事件判断的最优先考虑条件，只需满足该等级判定标准之一，整个事件即按此等级定位，当突发事件的影响程度随着时间的发展不断加重时，应升级处理，当突发事件的影响程度随着时间的发展不断减弱时，维持原级别不变；</w:t>
      </w:r>
    </w:p>
    <w:p>
      <w:pPr>
        <w:widowControl w:val="0"/>
        <w:numPr>
          <w:ilvl w:val="0"/>
          <w:numId w:val="2"/>
        </w:numPr>
        <w:spacing w:line="360" w:lineRule="auto"/>
        <w:ind w:left="840"/>
        <w:rPr>
          <w:rFonts w:hint="eastAsia" w:ascii="宋体" w:hAnsi="宋体" w:eastAsia="宋体" w:cs="宋体"/>
          <w:sz w:val="24"/>
          <w:szCs w:val="24"/>
        </w:rPr>
      </w:pPr>
      <w:r>
        <w:rPr>
          <w:rFonts w:hint="eastAsia" w:ascii="宋体" w:hAnsi="宋体" w:eastAsia="宋体" w:cs="宋体"/>
          <w:sz w:val="24"/>
          <w:szCs w:val="24"/>
        </w:rPr>
        <w:t>当同一突发事件包含多种事件类型时，按级别最高的类型判断；</w:t>
      </w:r>
    </w:p>
    <w:p>
      <w:pPr>
        <w:widowControl w:val="0"/>
        <w:numPr>
          <w:ilvl w:val="0"/>
          <w:numId w:val="2"/>
        </w:numPr>
        <w:spacing w:line="360" w:lineRule="auto"/>
        <w:ind w:left="840"/>
        <w:rPr>
          <w:rFonts w:hint="eastAsia" w:ascii="宋体" w:hAnsi="宋体" w:eastAsia="宋体" w:cs="宋体"/>
          <w:sz w:val="24"/>
          <w:szCs w:val="24"/>
        </w:rPr>
      </w:pPr>
      <w:r>
        <w:rPr>
          <w:rFonts w:hint="eastAsia" w:ascii="宋体" w:hAnsi="宋体" w:eastAsia="宋体" w:cs="宋体"/>
          <w:sz w:val="24"/>
          <w:szCs w:val="24"/>
        </w:rPr>
        <w:t>当同一突发事件包含多种事件类型，并且各类型事件级别也一致时，按照事件发生时间顺序，截止至信息报送时，以发生时间最早的事件类型判断；</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.3.2示例</w:t>
      </w:r>
    </w:p>
    <w:p>
      <w:pPr>
        <w:spacing w:line="360" w:lineRule="auto"/>
        <w:rPr>
          <w:rFonts w:hint="eastAsia" w:ascii="宋体" w:hAnsi="宋体" w:eastAsia="宋体" w:cs="宋体"/>
          <w:sz w:val="24"/>
          <w:szCs w:val="24"/>
        </w:rPr>
      </w:pPr>
      <w:r>
        <w:rPr>
          <w:rFonts w:hint="eastAsia" w:ascii="宋体" w:hAnsi="宋体" w:eastAsia="宋体" w:cs="宋体"/>
          <w:sz w:val="24"/>
          <w:szCs w:val="24"/>
        </w:rPr>
        <w:t>某住宅项目发生如下一起突发事件，一名业主驾驶车辆进入小区地下停车场时刮碰道闸，导致道</w:t>
      </w:r>
      <w:r>
        <w:rPr>
          <w:rFonts w:hint="eastAsia" w:ascii="宋体" w:hAnsi="宋体" w:eastAsia="宋体" w:cs="宋体"/>
          <w:sz w:val="24"/>
          <w:szCs w:val="24"/>
        </w:rPr>
        <w:t>闸损坏（C类财产类事件），预计经济损失1-2千元（Ⅲ级），车辆出入口岗位员工在处理该事件时业主情绪激动，辱骂和殴打岗位员工，造成员工受伤（A类员工类事件），经医院诊断为轻微骨裂，需住院治疗（Ⅱ级）一周，项目报警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在该起事件中包含两种事件类型：A类员工类事件和C类财产类事件，A类事件等级为Ⅱ级，C类事件等级为Ⅲ级，故该起突发事件作为为Ⅱ级A类突发事件上报和处理。当事件刚发生时无法判断财产损失金额和员工受伤程度，先进行信息报送、可暂不选择事件类型，待有进展时一并补充。</w:t>
      </w:r>
    </w:p>
    <w:p>
      <w:pPr>
        <w:spacing w:line="360" w:lineRule="auto"/>
        <w:rPr>
          <w:rFonts w:hint="eastAsia" w:ascii="宋体" w:hAnsi="宋体" w:eastAsia="宋体" w:cs="宋体"/>
          <w:sz w:val="24"/>
          <w:szCs w:val="24"/>
        </w:rPr>
      </w:pPr>
      <w:r>
        <w:rPr>
          <w:rFonts w:hint="eastAsia" w:ascii="宋体" w:hAnsi="宋体" w:eastAsia="宋体" w:cs="宋体"/>
          <w:sz w:val="24"/>
          <w:szCs w:val="24"/>
        </w:rPr>
        <w:t>第二天，该业主认为车辆撞坏道闸是由于道闸自身设备的问题导致，而且在处理过程中岗位员工和物业人员态度恶劣，派出所的处罚过重。业主召集了几位朋友开车将小区所有车辆出入口堵塞，导致车辆无法进出达4个小时；在此期间，20名业主打电话到服务中心针对车辆无法正常进出的事情进行投诉，同时市电视台记者到达现场进行了采访并在晚间新闻频道中进行了对项目不利的负面报道。</w:t>
      </w:r>
    </w:p>
    <w:p>
      <w:pPr>
        <w:spacing w:line="360" w:lineRule="auto"/>
        <w:rPr>
          <w:rFonts w:hint="eastAsia" w:ascii="宋体" w:hAnsi="宋体" w:eastAsia="宋体" w:cs="宋体"/>
          <w:sz w:val="24"/>
          <w:szCs w:val="24"/>
        </w:rPr>
      </w:pPr>
      <w:r>
        <w:rPr>
          <w:rFonts w:hint="eastAsia" w:ascii="宋体" w:hAnsi="宋体" w:eastAsia="宋体" w:cs="宋体"/>
          <w:sz w:val="24"/>
          <w:szCs w:val="24"/>
        </w:rPr>
        <w:t>在该起事件的后续发展中出现另外三种事件类型：D类公共类（扰乱公共秩序）、Ⅱ级D类公共类事件（车辆进出的公共服务中断）、Ⅲ级E类媒体类事件（市级电视台负面报道）；因为还是昨天发生的Ⅱ级A类事件引起的，故在原来的Ⅱ级A类事件基础上添加后续所有的情况，不用另外填写新的突发事件，事件等级、类型维持不变。</w:t>
      </w:r>
    </w:p>
    <w:p>
      <w:pPr>
        <w:spacing w:line="360" w:lineRule="auto"/>
        <w:rPr>
          <w:rFonts w:hint="eastAsia" w:ascii="宋体" w:hAnsi="宋体" w:eastAsia="宋体" w:cs="宋体"/>
          <w:sz w:val="24"/>
          <w:szCs w:val="24"/>
        </w:rPr>
      </w:pPr>
      <w:r>
        <w:rPr>
          <w:rFonts w:hint="eastAsia" w:ascii="宋体" w:hAnsi="宋体" w:eastAsia="宋体" w:cs="宋体"/>
          <w:sz w:val="24"/>
          <w:szCs w:val="24"/>
        </w:rPr>
        <w:t>第三天，门户网站新浪，在其新闻栏目对此事进行了转载，并发表了对物业公司不利的言论。</w:t>
      </w:r>
    </w:p>
    <w:p>
      <w:pPr>
        <w:spacing w:line="360" w:lineRule="auto"/>
        <w:rPr>
          <w:rFonts w:hint="eastAsia" w:ascii="宋体" w:hAnsi="宋体" w:eastAsia="宋体" w:cs="宋体"/>
          <w:sz w:val="24"/>
          <w:szCs w:val="24"/>
        </w:rPr>
      </w:pPr>
      <w:r>
        <w:rPr>
          <w:rFonts w:hint="eastAsia" w:ascii="宋体" w:hAnsi="宋体" w:eastAsia="宋体" w:cs="宋体"/>
          <w:sz w:val="24"/>
          <w:szCs w:val="24"/>
        </w:rPr>
        <w:t>该起事件的后续发展中出现Ⅰ级E类媒体类事件，不用另外填写新的突发事件，继续添加后续情况并升级处理，事件等级更新为Ⅰ级突发事件。</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3</w:t>
      </w:r>
      <w:r>
        <w:rPr>
          <w:rFonts w:hint="eastAsia" w:ascii="宋体" w:hAnsi="宋体" w:eastAsia="宋体" w:cs="宋体"/>
          <w:b/>
          <w:sz w:val="24"/>
          <w:szCs w:val="24"/>
        </w:rPr>
        <w:t>.4跟进处理</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3</w:t>
      </w:r>
      <w:r>
        <w:rPr>
          <w:rFonts w:hint="eastAsia" w:ascii="宋体" w:hAnsi="宋体" w:eastAsia="宋体" w:cs="宋体"/>
          <w:b/>
          <w:sz w:val="24"/>
          <w:szCs w:val="24"/>
        </w:rPr>
        <w:t>.4.1总体原则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跟进处理应坚持四不放过原则：</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1）事故原因未查清不放过</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2）责任人员未处理不放过</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3）相关人员未受教育不放过</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4）整改措施未落实不放过</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3</w:t>
      </w:r>
      <w:r>
        <w:rPr>
          <w:rFonts w:hint="eastAsia" w:ascii="宋体" w:hAnsi="宋体" w:eastAsia="宋体" w:cs="宋体"/>
          <w:b/>
          <w:sz w:val="24"/>
          <w:szCs w:val="24"/>
        </w:rPr>
        <w:t>.4.2级别、组织及人员构成</w:t>
      </w:r>
    </w:p>
    <w:p>
      <w:pPr>
        <w:spacing w:line="360" w:lineRule="auto"/>
        <w:rPr>
          <w:rFonts w:hint="eastAsia" w:ascii="宋体" w:hAnsi="宋体" w:eastAsia="宋体" w:cs="宋体"/>
          <w:sz w:val="24"/>
          <w:szCs w:val="24"/>
        </w:rPr>
      </w:pPr>
      <w:r>
        <w:rPr>
          <w:rFonts w:hint="eastAsia" w:ascii="宋体" w:hAnsi="宋体" w:eastAsia="宋体" w:cs="宋体"/>
          <w:sz w:val="24"/>
          <w:szCs w:val="24"/>
        </w:rPr>
        <w:t>为规范突发事件跟进工作、对不同等级不同影响程度的突发事件予以精确应对，投入适当的资源与管理成本，并明晰各层级之间的职责，按照公司组织架构与突发事件处理相结合，将突发事件的跟进处理分为三个处理级别，根据处理级别由高到低分别为公司级、项目级。各级别、组织和人员构成如下表：</w:t>
      </w:r>
    </w:p>
    <w:tbl>
      <w:tblPr>
        <w:tblStyle w:val="15"/>
        <w:tblW w:w="9378" w:type="dxa"/>
        <w:jc w:val="center"/>
        <w:tblLayout w:type="fixed"/>
        <w:tblCellMar>
          <w:top w:w="0" w:type="dxa"/>
          <w:left w:w="108" w:type="dxa"/>
          <w:bottom w:w="0" w:type="dxa"/>
          <w:right w:w="108" w:type="dxa"/>
        </w:tblCellMar>
      </w:tblPr>
      <w:tblGrid>
        <w:gridCol w:w="1163"/>
        <w:gridCol w:w="2344"/>
        <w:gridCol w:w="5871"/>
      </w:tblGrid>
      <w:tr>
        <w:tblPrEx>
          <w:tblCellMar>
            <w:top w:w="0" w:type="dxa"/>
            <w:left w:w="108" w:type="dxa"/>
            <w:bottom w:w="0" w:type="dxa"/>
            <w:right w:w="108" w:type="dxa"/>
          </w:tblCellMar>
        </w:tblPrEx>
        <w:trPr>
          <w:trHeight w:val="90"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B6DDE8"/>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级别</w:t>
            </w:r>
          </w:p>
        </w:tc>
        <w:tc>
          <w:tcPr>
            <w:tcW w:w="2344" w:type="dxa"/>
            <w:tcBorders>
              <w:top w:val="single" w:color="auto" w:sz="4" w:space="0"/>
              <w:left w:val="nil"/>
              <w:bottom w:val="single" w:color="auto" w:sz="4" w:space="0"/>
              <w:right w:val="single" w:color="auto" w:sz="4" w:space="0"/>
            </w:tcBorders>
            <w:shd w:val="clear" w:color="auto" w:fill="B6DDE8"/>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组织</w:t>
            </w:r>
          </w:p>
        </w:tc>
        <w:tc>
          <w:tcPr>
            <w:tcW w:w="5871" w:type="dxa"/>
            <w:tcBorders>
              <w:top w:val="single" w:color="auto" w:sz="4" w:space="0"/>
              <w:left w:val="nil"/>
              <w:bottom w:val="single" w:color="auto" w:sz="4" w:space="0"/>
              <w:right w:val="single" w:color="auto" w:sz="4" w:space="0"/>
            </w:tcBorders>
            <w:shd w:val="clear" w:color="auto" w:fill="B6DDE8"/>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主要人员构成</w:t>
            </w:r>
          </w:p>
        </w:tc>
      </w:tr>
      <w:tr>
        <w:tblPrEx>
          <w:tblCellMar>
            <w:top w:w="0" w:type="dxa"/>
            <w:left w:w="108" w:type="dxa"/>
            <w:bottom w:w="0" w:type="dxa"/>
            <w:right w:w="108" w:type="dxa"/>
          </w:tblCellMar>
        </w:tblPrEx>
        <w:trPr>
          <w:trHeight w:val="90" w:hRule="atLeast"/>
          <w:jc w:val="center"/>
        </w:trPr>
        <w:tc>
          <w:tcPr>
            <w:tcW w:w="1163"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公司级</w:t>
            </w:r>
          </w:p>
        </w:tc>
        <w:tc>
          <w:tcPr>
            <w:tcW w:w="234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（中心）城市公司突发事件处理组</w:t>
            </w:r>
          </w:p>
        </w:tc>
        <w:tc>
          <w:tcPr>
            <w:tcW w:w="5871"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（中心）城市公司总经理、大区总、各部门负责人、管理中心总经理、合伙人，法务/品牌/信息管理相关人员</w:t>
            </w:r>
          </w:p>
        </w:tc>
      </w:tr>
      <w:tr>
        <w:tblPrEx>
          <w:tblCellMar>
            <w:top w:w="0" w:type="dxa"/>
            <w:left w:w="108" w:type="dxa"/>
            <w:bottom w:w="0" w:type="dxa"/>
            <w:right w:w="108" w:type="dxa"/>
          </w:tblCellMar>
        </w:tblPrEx>
        <w:trPr>
          <w:trHeight w:val="90" w:hRule="atLeast"/>
          <w:jc w:val="center"/>
        </w:trPr>
        <w:tc>
          <w:tcPr>
            <w:tcW w:w="1163"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项目级</w:t>
            </w:r>
          </w:p>
        </w:tc>
        <w:tc>
          <w:tcPr>
            <w:tcW w:w="234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服务中心突发事件处理组</w:t>
            </w:r>
          </w:p>
        </w:tc>
        <w:tc>
          <w:tcPr>
            <w:tcW w:w="5871"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值班经理（商写、案场为项目负责人）、各系统负责人</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突发事件级别取决于事件本身的危害程度，而突发事件处理和应对级别取决于事件对公司业务的影响程度和处理难度，与突发事件的分级并不一定一一对应，例如客户自杀事件属于Ⅰ级突发事件，但如对公司正常业务开展未有明显影响的话，采取项目级处理即可。</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3</w:t>
      </w:r>
      <w:r>
        <w:rPr>
          <w:rFonts w:hint="eastAsia" w:ascii="宋体" w:hAnsi="宋体" w:eastAsia="宋体" w:cs="宋体"/>
          <w:b/>
          <w:sz w:val="24"/>
          <w:szCs w:val="24"/>
        </w:rPr>
        <w:t>.4.3职责</w:t>
      </w:r>
    </w:p>
    <w:p>
      <w:pPr>
        <w:spacing w:line="360" w:lineRule="auto"/>
        <w:rPr>
          <w:rFonts w:hint="eastAsia" w:ascii="宋体" w:hAnsi="宋体" w:eastAsia="宋体" w:cs="宋体"/>
          <w:sz w:val="24"/>
          <w:szCs w:val="24"/>
        </w:rPr>
      </w:pPr>
      <w:r>
        <w:rPr>
          <w:rFonts w:hint="eastAsia" w:ascii="宋体" w:hAnsi="宋体" w:eastAsia="宋体" w:cs="宋体"/>
          <w:sz w:val="24"/>
          <w:szCs w:val="24"/>
        </w:rPr>
        <w:t>总体原则：对突发事件进行妥善处理，消除和降低突发事件对公司运营的不良影响是所有员工的共同责任，所有层级、所有部门、所有岗位的员工在处理突发事件时都应按照既定的应急预案和管理指引精诚合作、贡献力量。</w:t>
      </w:r>
    </w:p>
    <w:p>
      <w:pPr>
        <w:spacing w:line="360" w:lineRule="auto"/>
        <w:rPr>
          <w:rFonts w:hint="eastAsia" w:ascii="宋体" w:hAnsi="宋体" w:eastAsia="宋体" w:cs="宋体"/>
          <w:sz w:val="24"/>
          <w:szCs w:val="24"/>
        </w:rPr>
      </w:pPr>
      <w:r>
        <w:rPr>
          <w:rFonts w:hint="eastAsia" w:ascii="宋体" w:hAnsi="宋体" w:eastAsia="宋体" w:cs="宋体"/>
          <w:sz w:val="24"/>
          <w:szCs w:val="24"/>
        </w:rPr>
        <w:t>不同响应层级中突发事件处理主要人员职责如下：</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2"/>
        <w:rPr>
          <w:rFonts w:hint="eastAsia"/>
        </w:rPr>
      </w:pPr>
    </w:p>
    <w:tbl>
      <w:tblPr>
        <w:tblStyle w:val="15"/>
        <w:tblW w:w="9219" w:type="dxa"/>
        <w:jc w:val="center"/>
        <w:tblLayout w:type="autofit"/>
        <w:tblCellMar>
          <w:top w:w="0" w:type="dxa"/>
          <w:left w:w="108" w:type="dxa"/>
          <w:bottom w:w="0" w:type="dxa"/>
          <w:right w:w="108" w:type="dxa"/>
        </w:tblCellMar>
      </w:tblPr>
      <w:tblGrid>
        <w:gridCol w:w="1298"/>
        <w:gridCol w:w="7921"/>
      </w:tblGrid>
      <w:tr>
        <w:tblPrEx>
          <w:tblCellMar>
            <w:top w:w="0" w:type="dxa"/>
            <w:left w:w="108" w:type="dxa"/>
            <w:bottom w:w="0" w:type="dxa"/>
            <w:right w:w="108" w:type="dxa"/>
          </w:tblCellMar>
        </w:tblPrEx>
        <w:trPr>
          <w:trHeight w:val="90" w:hRule="atLeast"/>
          <w:jc w:val="center"/>
        </w:trPr>
        <w:tc>
          <w:tcPr>
            <w:tcW w:w="1298" w:type="dxa"/>
            <w:tcBorders>
              <w:top w:val="single" w:color="auto" w:sz="4" w:space="0"/>
              <w:left w:val="single" w:color="auto" w:sz="4" w:space="0"/>
              <w:bottom w:val="single" w:color="auto" w:sz="4" w:space="0"/>
              <w:right w:val="single" w:color="auto" w:sz="4" w:space="0"/>
            </w:tcBorders>
            <w:shd w:val="clear" w:color="auto" w:fill="92CDDC"/>
            <w:noWrap/>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处理级别</w:t>
            </w:r>
          </w:p>
        </w:tc>
        <w:tc>
          <w:tcPr>
            <w:tcW w:w="7921" w:type="dxa"/>
            <w:tcBorders>
              <w:top w:val="single" w:color="auto" w:sz="4" w:space="0"/>
              <w:left w:val="nil"/>
              <w:bottom w:val="single" w:color="auto" w:sz="4" w:space="0"/>
              <w:right w:val="single" w:color="auto" w:sz="4" w:space="0"/>
            </w:tcBorders>
            <w:shd w:val="clear" w:color="auto" w:fill="92CDDC"/>
            <w:noWrap/>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人员职责</w:t>
            </w:r>
          </w:p>
        </w:tc>
      </w:tr>
      <w:tr>
        <w:tblPrEx>
          <w:tblCellMar>
            <w:top w:w="0" w:type="dxa"/>
            <w:left w:w="108" w:type="dxa"/>
            <w:bottom w:w="0" w:type="dxa"/>
            <w:right w:w="108" w:type="dxa"/>
          </w:tblCellMar>
        </w:tblPrEx>
        <w:trPr>
          <w:trHeight w:val="90" w:hRule="atLeast"/>
          <w:jc w:val="center"/>
        </w:trPr>
        <w:tc>
          <w:tcPr>
            <w:tcW w:w="1298"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公司级</w:t>
            </w:r>
          </w:p>
        </w:tc>
        <w:tc>
          <w:tcPr>
            <w:tcW w:w="7921" w:type="dxa"/>
            <w:tcBorders>
              <w:top w:val="nil"/>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分公司总经理</w:t>
            </w:r>
            <w:r>
              <w:rPr>
                <w:rFonts w:hint="eastAsia" w:ascii="宋体" w:hAnsi="宋体" w:eastAsia="宋体" w:cs="宋体"/>
                <w:color w:val="000000"/>
                <w:sz w:val="24"/>
                <w:szCs w:val="24"/>
              </w:rPr>
              <w:t>对</w:t>
            </w:r>
            <w:r>
              <w:rPr>
                <w:rFonts w:hint="eastAsia" w:ascii="宋体" w:hAnsi="宋体" w:eastAsia="宋体" w:cs="宋体"/>
                <w:color w:val="000000"/>
                <w:sz w:val="24"/>
                <w:szCs w:val="24"/>
                <w:lang w:val="en-US" w:eastAsia="zh-CN"/>
              </w:rPr>
              <w:t>分公司</w:t>
            </w:r>
            <w:r>
              <w:rPr>
                <w:rFonts w:hint="eastAsia" w:ascii="宋体" w:hAnsi="宋体" w:eastAsia="宋体" w:cs="宋体"/>
                <w:color w:val="000000"/>
                <w:sz w:val="24"/>
                <w:szCs w:val="24"/>
              </w:rPr>
              <w:t>相关突发事件的处理总体负责；</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职能部门负责人、专委会专家、专业岗位人员对突发事件的处理提供必要支持与协助；</w:t>
            </w:r>
          </w:p>
        </w:tc>
      </w:tr>
      <w:tr>
        <w:tblPrEx>
          <w:tblCellMar>
            <w:top w:w="0" w:type="dxa"/>
            <w:left w:w="108" w:type="dxa"/>
            <w:bottom w:w="0" w:type="dxa"/>
            <w:right w:w="108" w:type="dxa"/>
          </w:tblCellMar>
        </w:tblPrEx>
        <w:trPr>
          <w:trHeight w:val="90" w:hRule="atLeast"/>
          <w:jc w:val="center"/>
        </w:trPr>
        <w:tc>
          <w:tcPr>
            <w:tcW w:w="1298"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项目级</w:t>
            </w:r>
          </w:p>
        </w:tc>
        <w:tc>
          <w:tcPr>
            <w:tcW w:w="7921" w:type="dxa"/>
            <w:tcBorders>
              <w:top w:val="nil"/>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片区总经理</w:t>
            </w:r>
            <w:r>
              <w:rPr>
                <w:rFonts w:hint="eastAsia" w:ascii="宋体" w:hAnsi="宋体" w:eastAsia="宋体" w:cs="宋体"/>
                <w:color w:val="000000"/>
                <w:sz w:val="24"/>
                <w:szCs w:val="24"/>
              </w:rPr>
              <w:t>对</w:t>
            </w:r>
            <w:r>
              <w:rPr>
                <w:rFonts w:hint="eastAsia" w:ascii="宋体" w:hAnsi="宋体" w:eastAsia="宋体" w:cs="宋体"/>
                <w:color w:val="000000"/>
                <w:sz w:val="24"/>
                <w:szCs w:val="24"/>
                <w:lang w:val="en-US" w:eastAsia="zh-CN"/>
              </w:rPr>
              <w:t>片区</w:t>
            </w:r>
            <w:r>
              <w:rPr>
                <w:rFonts w:hint="eastAsia" w:ascii="宋体" w:hAnsi="宋体" w:eastAsia="宋体" w:cs="宋体"/>
                <w:color w:val="000000"/>
                <w:sz w:val="24"/>
                <w:szCs w:val="24"/>
              </w:rPr>
              <w:t>相关突发事件的处理总体负责；</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项目</w:t>
            </w:r>
            <w:r>
              <w:rPr>
                <w:rFonts w:hint="eastAsia" w:ascii="宋体" w:hAnsi="宋体" w:eastAsia="宋体" w:cs="宋体"/>
                <w:color w:val="000000"/>
                <w:sz w:val="24"/>
                <w:szCs w:val="24"/>
              </w:rPr>
              <w:t>经理对突发事件的现场处理和信息上报负责；</w:t>
            </w: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3</w:t>
      </w:r>
      <w:r>
        <w:rPr>
          <w:rFonts w:hint="eastAsia" w:ascii="宋体" w:hAnsi="宋体" w:eastAsia="宋体" w:cs="宋体"/>
          <w:b/>
          <w:sz w:val="24"/>
          <w:szCs w:val="24"/>
        </w:rPr>
        <w:t>.5重大突发事件的应急处理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我们把一些对公司运营发展、企业形象、品牌声誉等造成或潜在造成重大影响的突发事件定义为危机事件，针对此类事件，公司采取危机事件特殊处理机制去应对。</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.5.1人员职责</w:t>
      </w:r>
    </w:p>
    <w:tbl>
      <w:tblPr>
        <w:tblStyle w:val="15"/>
        <w:tblW w:w="9719"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497"/>
        <w:gridCol w:w="2464"/>
        <w:gridCol w:w="575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55" w:hRule="atLeast"/>
          <w:jc w:val="center"/>
        </w:trPr>
        <w:tc>
          <w:tcPr>
            <w:tcW w:w="1497" w:type="dxa"/>
            <w:tcBorders>
              <w:bottom w:val="single" w:color="auto" w:sz="4" w:space="0"/>
              <w:right w:val="single" w:color="auto" w:sz="4" w:space="0"/>
            </w:tcBorders>
            <w:shd w:val="clear" w:color="auto" w:fill="92CDDC"/>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危机事件处理小组</w:t>
            </w:r>
          </w:p>
        </w:tc>
        <w:tc>
          <w:tcPr>
            <w:tcW w:w="2464" w:type="dxa"/>
            <w:tcBorders>
              <w:left w:val="nil"/>
              <w:bottom w:val="single" w:color="auto" w:sz="4" w:space="0"/>
              <w:right w:val="single" w:color="auto" w:sz="4" w:space="0"/>
            </w:tcBorders>
            <w:shd w:val="clear" w:color="auto" w:fill="92CDDC"/>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人员</w:t>
            </w:r>
          </w:p>
        </w:tc>
        <w:tc>
          <w:tcPr>
            <w:tcW w:w="5758" w:type="dxa"/>
            <w:tcBorders>
              <w:left w:val="nil"/>
              <w:bottom w:val="single" w:color="auto" w:sz="4" w:space="0"/>
            </w:tcBorders>
            <w:shd w:val="clear" w:color="auto" w:fill="92CDDC"/>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职责角色</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65" w:hRule="atLeast"/>
          <w:jc w:val="center"/>
        </w:trPr>
        <w:tc>
          <w:tcPr>
            <w:tcW w:w="1497" w:type="dxa"/>
            <w:tcBorders>
              <w:top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组长</w:t>
            </w:r>
          </w:p>
        </w:tc>
        <w:tc>
          <w:tcPr>
            <w:tcW w:w="246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分公司总经理</w:t>
            </w:r>
          </w:p>
        </w:tc>
        <w:tc>
          <w:tcPr>
            <w:tcW w:w="5758" w:type="dxa"/>
            <w:tcBorders>
              <w:top w:val="nil"/>
              <w:left w:val="nil"/>
              <w:bottom w:val="single" w:color="auto" w:sz="4" w:space="0"/>
            </w:tcBorders>
            <w:shd w:val="clear" w:color="auto" w:fill="auto"/>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领导小组成员应对危机事件，统筹资源、分配任务、明确授权，小组群体决策和危机事件响应解除的最终确认者</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96" w:hRule="atLeast"/>
          <w:jc w:val="center"/>
        </w:trPr>
        <w:tc>
          <w:tcPr>
            <w:tcW w:w="1497" w:type="dxa"/>
            <w:tcBorders>
              <w:top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执行组长</w:t>
            </w:r>
          </w:p>
        </w:tc>
        <w:tc>
          <w:tcPr>
            <w:tcW w:w="2464"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片区总经理</w:t>
            </w:r>
          </w:p>
        </w:tc>
        <w:tc>
          <w:tcPr>
            <w:tcW w:w="5758" w:type="dxa"/>
            <w:tcBorders>
              <w:top w:val="nil"/>
              <w:left w:val="single" w:color="auto" w:sz="4" w:space="0"/>
              <w:bottom w:val="single" w:color="auto" w:sz="4" w:space="0"/>
            </w:tcBorders>
            <w:shd w:val="clear" w:color="auto" w:fill="auto"/>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协调</w:t>
            </w:r>
            <w:r>
              <w:rPr>
                <w:rFonts w:hint="eastAsia" w:ascii="宋体" w:hAnsi="宋体" w:eastAsia="宋体" w:cs="宋体"/>
                <w:color w:val="000000"/>
                <w:sz w:val="24"/>
                <w:szCs w:val="24"/>
                <w:lang w:val="en-US" w:eastAsia="zh-CN"/>
              </w:rPr>
              <w:t>项目</w:t>
            </w:r>
            <w:r>
              <w:rPr>
                <w:rFonts w:hint="eastAsia" w:ascii="宋体" w:hAnsi="宋体" w:eastAsia="宋体" w:cs="宋体"/>
                <w:color w:val="000000"/>
                <w:sz w:val="24"/>
                <w:szCs w:val="24"/>
              </w:rPr>
              <w:t>资源，对危机事件的决策、处理及效果进行评估。综合各成员意见给出应对方案。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14" w:hRule="atLeast"/>
          <w:jc w:val="center"/>
        </w:trPr>
        <w:tc>
          <w:tcPr>
            <w:tcW w:w="1497" w:type="dxa"/>
            <w:tcBorders>
              <w:top w:val="nil"/>
              <w:bottom w:val="single" w:color="auto" w:sz="4" w:space="0"/>
              <w:right w:val="single" w:color="auto" w:sz="4" w:space="0"/>
            </w:tcBorders>
            <w:shd w:val="clear" w:color="auto" w:fill="auto"/>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总协调人</w:t>
            </w:r>
          </w:p>
        </w:tc>
        <w:tc>
          <w:tcPr>
            <w:tcW w:w="2464"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驻场经理</w:t>
            </w:r>
          </w:p>
        </w:tc>
        <w:tc>
          <w:tcPr>
            <w:tcW w:w="5758" w:type="dxa"/>
            <w:tcBorders>
              <w:top w:val="nil"/>
              <w:left w:val="nil"/>
              <w:bottom w:val="single" w:color="auto" w:sz="4" w:space="0"/>
            </w:tcBorders>
            <w:shd w:val="clear" w:color="auto" w:fill="auto"/>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召集危机事件处理小组成员，协调会议召开，监督会议决策的落实情况，并予以记录。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2" w:hRule="atLeast"/>
          <w:jc w:val="center"/>
        </w:trPr>
        <w:tc>
          <w:tcPr>
            <w:tcW w:w="1497" w:type="dxa"/>
            <w:tcBorders>
              <w:top w:val="nil"/>
              <w:right w:val="single" w:color="auto" w:sz="4" w:space="0"/>
            </w:tcBorders>
            <w:shd w:val="clear" w:color="auto" w:fill="auto"/>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成员</w:t>
            </w:r>
          </w:p>
        </w:tc>
        <w:tc>
          <w:tcPr>
            <w:tcW w:w="2464" w:type="dxa"/>
            <w:tcBorders>
              <w:top w:val="nil"/>
              <w:left w:val="nil"/>
              <w:right w:val="single" w:color="auto" w:sz="4" w:space="0"/>
            </w:tcBorders>
            <w:shd w:val="clear" w:color="auto" w:fill="auto"/>
            <w:noWrap/>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公司法务、品牌、信息管理岗、专委会成员等</w:t>
            </w:r>
          </w:p>
        </w:tc>
        <w:tc>
          <w:tcPr>
            <w:tcW w:w="5758" w:type="dxa"/>
            <w:tcBorders>
              <w:top w:val="nil"/>
              <w:left w:val="single" w:color="auto" w:sz="4" w:space="0"/>
            </w:tcBorders>
            <w:shd w:val="clear" w:color="auto" w:fill="auto"/>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针对问题提出解决方案和合理化建议，负责部门职责或专业范畴内的各项工作的落实执行、推动问题解决并及时反馈结果。（成员可根据不同事件进行选择）</w:t>
            </w: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.5.2运作流程</w:t>
      </w:r>
    </w:p>
    <w:p>
      <w:pPr>
        <w:widowControl w:val="0"/>
        <w:numPr>
          <w:ilvl w:val="0"/>
          <w:numId w:val="3"/>
        </w:numPr>
        <w:spacing w:line="360" w:lineRule="auto"/>
        <w:rPr>
          <w:rFonts w:hint="eastAsia" w:ascii="宋体" w:hAnsi="宋体" w:eastAsia="宋体" w:cs="宋体"/>
          <w:sz w:val="24"/>
          <w:szCs w:val="24"/>
        </w:rPr>
      </w:pPr>
      <w:r>
        <w:rPr>
          <w:rFonts w:hint="eastAsia" w:ascii="宋体" w:hAnsi="宋体" w:eastAsia="宋体" w:cs="宋体"/>
          <w:b/>
          <w:sz w:val="24"/>
          <w:szCs w:val="24"/>
        </w:rPr>
        <w:t>启动：</w:t>
      </w:r>
      <w:r>
        <w:rPr>
          <w:rFonts w:hint="eastAsia" w:ascii="宋体" w:hAnsi="宋体" w:eastAsia="宋体" w:cs="宋体"/>
          <w:sz w:val="24"/>
          <w:szCs w:val="24"/>
        </w:rPr>
        <w:t>各业务和职能部门负责人对突发事件进行判断，如该事件应对不力会对公司造成或潜在造成重大影响，同时一线突发事件处理小组无法独立应对，需要公司高层做出决策时，向</w:t>
      </w:r>
      <w:r>
        <w:rPr>
          <w:rFonts w:hint="eastAsia" w:ascii="宋体" w:hAnsi="宋体" w:eastAsia="宋体" w:cs="宋体"/>
          <w:sz w:val="24"/>
          <w:szCs w:val="24"/>
          <w:lang w:val="en-US" w:eastAsia="zh-CN"/>
        </w:rPr>
        <w:t>组长</w:t>
      </w:r>
      <w:r>
        <w:rPr>
          <w:rFonts w:hint="eastAsia" w:ascii="宋体" w:hAnsi="宋体" w:eastAsia="宋体" w:cs="宋体"/>
          <w:sz w:val="24"/>
          <w:szCs w:val="24"/>
        </w:rPr>
        <w:t>汇报，经</w:t>
      </w:r>
      <w:r>
        <w:rPr>
          <w:rFonts w:hint="eastAsia" w:ascii="宋体" w:hAnsi="宋体" w:eastAsia="宋体" w:cs="宋体"/>
          <w:sz w:val="24"/>
          <w:szCs w:val="24"/>
          <w:lang w:val="en-US" w:eastAsia="zh-CN"/>
        </w:rPr>
        <w:t>组长</w:t>
      </w:r>
      <w:r>
        <w:rPr>
          <w:rFonts w:hint="eastAsia" w:ascii="宋体" w:hAnsi="宋体" w:eastAsia="宋体" w:cs="宋体"/>
          <w:sz w:val="24"/>
          <w:szCs w:val="24"/>
        </w:rPr>
        <w:t>同意，启动应急响应机制，并告知</w:t>
      </w:r>
      <w:r>
        <w:rPr>
          <w:rFonts w:hint="eastAsia" w:ascii="宋体" w:hAnsi="宋体" w:eastAsia="宋体" w:cs="宋体"/>
          <w:sz w:val="24"/>
          <w:szCs w:val="24"/>
          <w:lang w:val="en-US" w:eastAsia="zh-CN"/>
        </w:rPr>
        <w:t>总协调人</w:t>
      </w:r>
      <w:r>
        <w:rPr>
          <w:rFonts w:hint="eastAsia" w:ascii="宋体" w:hAnsi="宋体" w:eastAsia="宋体" w:cs="宋体"/>
          <w:sz w:val="24"/>
          <w:szCs w:val="24"/>
        </w:rPr>
        <w:t>。</w:t>
      </w:r>
    </w:p>
    <w:p>
      <w:pPr>
        <w:widowControl w:val="0"/>
        <w:numPr>
          <w:ilvl w:val="0"/>
          <w:numId w:val="3"/>
        </w:numPr>
        <w:spacing w:line="360" w:lineRule="auto"/>
        <w:rPr>
          <w:rFonts w:hint="eastAsia" w:ascii="宋体" w:hAnsi="宋体" w:eastAsia="宋体" w:cs="宋体"/>
          <w:sz w:val="24"/>
          <w:szCs w:val="24"/>
        </w:rPr>
      </w:pPr>
      <w:r>
        <w:rPr>
          <w:rFonts w:hint="eastAsia" w:ascii="宋体" w:hAnsi="宋体" w:eastAsia="宋体" w:cs="宋体"/>
          <w:b/>
          <w:sz w:val="24"/>
          <w:szCs w:val="24"/>
        </w:rPr>
        <w:t>小组成员召集及前期准备：</w:t>
      </w:r>
      <w:r>
        <w:rPr>
          <w:rFonts w:hint="eastAsia" w:ascii="宋体" w:hAnsi="宋体" w:eastAsia="宋体" w:cs="宋体"/>
          <w:sz w:val="24"/>
          <w:szCs w:val="24"/>
        </w:rPr>
        <w:t>启动应急响应后，由</w:t>
      </w:r>
      <w:r>
        <w:rPr>
          <w:rFonts w:hint="eastAsia" w:ascii="宋体" w:hAnsi="宋体" w:eastAsia="宋体" w:cs="宋体"/>
          <w:sz w:val="24"/>
          <w:szCs w:val="24"/>
          <w:lang w:val="en-US" w:eastAsia="zh-CN"/>
        </w:rPr>
        <w:t>分公司总经理</w:t>
      </w:r>
      <w:r>
        <w:rPr>
          <w:rFonts w:hint="eastAsia" w:ascii="宋体" w:hAnsi="宋体" w:eastAsia="宋体" w:cs="宋体"/>
          <w:sz w:val="24"/>
          <w:szCs w:val="24"/>
        </w:rPr>
        <w:t>任命执行组长，由执行组长任命组员，</w:t>
      </w:r>
      <w:r>
        <w:rPr>
          <w:rFonts w:hint="eastAsia" w:ascii="宋体" w:hAnsi="宋体" w:eastAsia="宋体" w:cs="宋体"/>
          <w:sz w:val="24"/>
          <w:szCs w:val="24"/>
          <w:lang w:val="en-US" w:eastAsia="zh-CN"/>
        </w:rPr>
        <w:t>驻场经理</w:t>
      </w:r>
      <w:r>
        <w:rPr>
          <w:rFonts w:hint="eastAsia" w:ascii="宋体" w:hAnsi="宋体" w:eastAsia="宋体" w:cs="宋体"/>
          <w:sz w:val="24"/>
          <w:szCs w:val="24"/>
        </w:rPr>
        <w:t>发出正式通知，并建立专门的沟通群组（如微信），执行组长告之小组全体成员事件概况，使小组全体成员对事件有一个初步认识，从集团级响应机制正式启动到小组组建完毕并建立沟通群组，时间间隔不宜超过1小时。</w:t>
      </w:r>
    </w:p>
    <w:p>
      <w:pPr>
        <w:widowControl w:val="0"/>
        <w:numPr>
          <w:ilvl w:val="0"/>
          <w:numId w:val="3"/>
        </w:numPr>
        <w:spacing w:line="360" w:lineRule="auto"/>
        <w:rPr>
          <w:rFonts w:hint="eastAsia" w:ascii="宋体" w:hAnsi="宋体" w:eastAsia="宋体" w:cs="宋体"/>
          <w:sz w:val="24"/>
          <w:szCs w:val="24"/>
        </w:rPr>
      </w:pPr>
      <w:r>
        <w:rPr>
          <w:rFonts w:hint="eastAsia" w:ascii="宋体" w:hAnsi="宋体" w:eastAsia="宋体" w:cs="宋体"/>
          <w:b/>
          <w:sz w:val="24"/>
          <w:szCs w:val="24"/>
        </w:rPr>
        <w:t>小组会议：</w:t>
      </w:r>
    </w:p>
    <w:p>
      <w:pPr>
        <w:widowControl w:val="0"/>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专项小组组建后，由执行组长主持、召开会议讨论对策，会议形式可根据具体情况灵活选择，如现场会、视频会、电话会等，但每次会议需做会议纪要。由发生危机事件的具体业务部门介绍危机事件来由、最新进展、目前应对、事件当前造成的影响、未来可能发生的严重后果和需要解决的问题等。为更清晰的了解事件细节及扁平沟通，必要时可要求一线现场处理人员在线参与会议，回答与会者疑问。</w:t>
      </w:r>
    </w:p>
    <w:p>
      <w:pPr>
        <w:widowControl w:val="0"/>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每名小组成员轮流发言，表述对事件的看法和处理建议，专业口成员应从本专业角度阐述事件处理的风险和注意事项，给出专业意见。</w:t>
      </w:r>
    </w:p>
    <w:p>
      <w:pPr>
        <w:widowControl w:val="0"/>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全体成员讨论事件应对方案，形成集体决策。</w:t>
      </w:r>
    </w:p>
    <w:p>
      <w:pPr>
        <w:widowControl w:val="0"/>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分公司总经理</w:t>
      </w:r>
      <w:r>
        <w:rPr>
          <w:rFonts w:hint="eastAsia" w:ascii="宋体" w:hAnsi="宋体" w:eastAsia="宋体" w:cs="宋体"/>
          <w:sz w:val="24"/>
          <w:szCs w:val="24"/>
        </w:rPr>
        <w:t>对决策做最终确认。</w:t>
      </w:r>
    </w:p>
    <w:p>
      <w:pPr>
        <w:widowControl w:val="0"/>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业务管理部负责会议记录。</w:t>
      </w:r>
    </w:p>
    <w:p>
      <w:pPr>
        <w:widowControl w:val="0"/>
        <w:numPr>
          <w:ilvl w:val="0"/>
          <w:numId w:val="3"/>
        </w:numPr>
        <w:spacing w:line="360" w:lineRule="auto"/>
        <w:rPr>
          <w:rFonts w:hint="eastAsia" w:ascii="宋体" w:hAnsi="宋体" w:eastAsia="宋体" w:cs="宋体"/>
          <w:b/>
          <w:sz w:val="24"/>
          <w:szCs w:val="24"/>
        </w:rPr>
      </w:pPr>
      <w:r>
        <w:rPr>
          <w:rFonts w:hint="eastAsia" w:ascii="宋体" w:hAnsi="宋体" w:eastAsia="宋体" w:cs="宋体"/>
          <w:b/>
          <w:sz w:val="24"/>
          <w:szCs w:val="24"/>
        </w:rPr>
        <w:t>落实执行会议决策：</w:t>
      </w:r>
      <w:r>
        <w:rPr>
          <w:rFonts w:hint="eastAsia" w:ascii="宋体" w:hAnsi="宋体" w:eastAsia="宋体" w:cs="宋体"/>
          <w:sz w:val="24"/>
          <w:szCs w:val="24"/>
        </w:rPr>
        <w:t>会议后，各部门负责人按会议决策落实执行，并向执行组长反馈执行情况、后续进展和工作计划。执行组长汇总相关情况，向</w:t>
      </w:r>
      <w:r>
        <w:rPr>
          <w:rFonts w:hint="eastAsia" w:ascii="宋体" w:hAnsi="宋体" w:eastAsia="宋体" w:cs="宋体"/>
          <w:sz w:val="24"/>
          <w:szCs w:val="24"/>
          <w:lang w:val="en-US" w:eastAsia="zh-CN"/>
        </w:rPr>
        <w:t>分公司总经理</w:t>
      </w:r>
      <w:r>
        <w:rPr>
          <w:rFonts w:hint="eastAsia" w:ascii="宋体" w:hAnsi="宋体" w:eastAsia="宋体" w:cs="宋体"/>
          <w:sz w:val="24"/>
          <w:szCs w:val="24"/>
        </w:rPr>
        <w:t>通报事件最新进展，业务管理部负责对落实执行过程进行记录。</w:t>
      </w:r>
    </w:p>
    <w:p>
      <w:pPr>
        <w:widowControl w:val="0"/>
        <w:numPr>
          <w:ilvl w:val="0"/>
          <w:numId w:val="3"/>
        </w:numPr>
        <w:spacing w:line="360" w:lineRule="auto"/>
        <w:rPr>
          <w:rFonts w:hint="eastAsia" w:ascii="宋体" w:hAnsi="宋体" w:eastAsia="宋体" w:cs="宋体"/>
          <w:sz w:val="24"/>
          <w:szCs w:val="24"/>
        </w:rPr>
      </w:pPr>
      <w:r>
        <w:rPr>
          <w:rFonts w:hint="eastAsia" w:ascii="宋体" w:hAnsi="宋体" w:eastAsia="宋体" w:cs="宋体"/>
          <w:b/>
          <w:sz w:val="24"/>
          <w:szCs w:val="24"/>
        </w:rPr>
        <w:t>重复3）、4）动作：</w:t>
      </w:r>
      <w:r>
        <w:rPr>
          <w:rFonts w:hint="eastAsia" w:ascii="宋体" w:hAnsi="宋体" w:eastAsia="宋体" w:cs="宋体"/>
          <w:sz w:val="24"/>
          <w:szCs w:val="24"/>
        </w:rPr>
        <w:t>当危机事件发生新的变化或跟进处理中遇到新的问题需要讨论对策时，再次召开小组会议，更新进展、集体决策、落实执行、反馈结果，重复这一系列动作直至应急响应状态解除。</w:t>
      </w:r>
    </w:p>
    <w:p>
      <w:pPr>
        <w:widowControl w:val="0"/>
        <w:numPr>
          <w:ilvl w:val="0"/>
          <w:numId w:val="3"/>
        </w:numPr>
        <w:spacing w:before="156" w:beforeLines="50"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应急响应状态解除：</w:t>
      </w:r>
      <w:r>
        <w:rPr>
          <w:rFonts w:hint="eastAsia" w:ascii="宋体" w:hAnsi="宋体" w:eastAsia="宋体" w:cs="宋体"/>
          <w:sz w:val="24"/>
          <w:szCs w:val="24"/>
        </w:rPr>
        <w:t>当危机事件处理完毕或告一段落后，执行组长向</w:t>
      </w:r>
      <w:r>
        <w:rPr>
          <w:rFonts w:hint="eastAsia" w:ascii="宋体" w:hAnsi="宋体" w:eastAsia="宋体" w:cs="宋体"/>
          <w:sz w:val="24"/>
          <w:szCs w:val="24"/>
          <w:lang w:val="en-US" w:eastAsia="zh-CN"/>
        </w:rPr>
        <w:t>分公司总经理</w:t>
      </w:r>
      <w:r>
        <w:rPr>
          <w:rFonts w:hint="eastAsia" w:ascii="宋体" w:hAnsi="宋体" w:eastAsia="宋体" w:cs="宋体"/>
          <w:sz w:val="24"/>
          <w:szCs w:val="24"/>
        </w:rPr>
        <w:t>汇报事件处理结果和评估意见，经</w:t>
      </w:r>
      <w:r>
        <w:rPr>
          <w:rFonts w:hint="eastAsia" w:ascii="宋体" w:hAnsi="宋体" w:eastAsia="宋体" w:cs="宋体"/>
          <w:sz w:val="24"/>
          <w:szCs w:val="24"/>
          <w:lang w:val="en-US" w:eastAsia="zh-CN"/>
        </w:rPr>
        <w:t>分公司总经理</w:t>
      </w:r>
      <w:r>
        <w:rPr>
          <w:rFonts w:hint="eastAsia" w:ascii="宋体" w:hAnsi="宋体" w:eastAsia="宋体" w:cs="宋体"/>
          <w:sz w:val="24"/>
          <w:szCs w:val="24"/>
        </w:rPr>
        <w:t>批准后，发出正式通知解除危机事件应急响应状态。</w:t>
      </w:r>
    </w:p>
    <w:p>
      <w:pPr>
        <w:widowControl w:val="0"/>
        <w:numPr>
          <w:ilvl w:val="0"/>
          <w:numId w:val="3"/>
        </w:numPr>
        <w:spacing w:before="156" w:beforeLines="50"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总结和记录：</w:t>
      </w:r>
      <w:r>
        <w:rPr>
          <w:rFonts w:hint="eastAsia" w:ascii="宋体" w:hAnsi="宋体" w:eastAsia="宋体" w:cs="宋体"/>
          <w:sz w:val="24"/>
          <w:szCs w:val="24"/>
        </w:rPr>
        <w:t>应急响应状态解除后，执行组长召集全体成员会议，总结本次事件处理过程、经验和教训，授权专人制订后续预防措施和控制方案，组织相关人员进行宣传和教育。如有必要，集体讨论事件责任人处理意见。业务管理部负责将本次危机事件中所有资料和记录统一归档保存，做为公司知识管理的材料来源。</w:t>
      </w:r>
    </w:p>
    <w:p>
      <w:pPr>
        <w:autoSpaceDE w:val="0"/>
        <w:autoSpaceDN w:val="0"/>
        <w:adjustRightInd w:val="0"/>
        <w:spacing w:line="360" w:lineRule="auto"/>
        <w:outlineLvl w:val="0"/>
        <w:rPr>
          <w:rFonts w:hint="eastAsia" w:ascii="宋体" w:hAnsi="宋体" w:eastAsia="宋体" w:cs="宋体"/>
          <w:color w:val="000000"/>
          <w:sz w:val="24"/>
          <w:szCs w:val="24"/>
          <w:lang w:eastAsia="zh-CN"/>
        </w:rPr>
      </w:pPr>
      <w:bookmarkStart w:id="11" w:name="_Toc1436"/>
      <w:r>
        <w:rPr>
          <w:rFonts w:hint="eastAsia" w:ascii="宋体" w:hAnsi="宋体" w:eastAsia="宋体" w:cs="宋体"/>
          <w:color w:val="000000"/>
          <w:sz w:val="24"/>
          <w:szCs w:val="24"/>
          <w:lang w:eastAsia="zh-CN"/>
        </w:rPr>
        <w:t>4. 维护与解释</w:t>
      </w:r>
      <w:bookmarkEnd w:id="11"/>
    </w:p>
    <w:p>
      <w:pPr>
        <w:autoSpaceDE w:val="0"/>
        <w:autoSpaceDN w:val="0"/>
        <w:adjustRightInd w:val="0"/>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4.1本规定由公司服务中心每年复审一次，根据复审结果进行修订，并颁布执行。</w:t>
      </w:r>
    </w:p>
    <w:p>
      <w:pPr>
        <w:widowControl w:val="0"/>
        <w:spacing w:line="360" w:lineRule="auto"/>
        <w:ind w:firstLine="480" w:firstLineChars="200"/>
        <w:jc w:val="both"/>
        <w:rPr>
          <w:rFonts w:hint="eastAsia" w:ascii="宋体" w:hAnsi="宋体" w:eastAsia="宋体" w:cs="宋体"/>
          <w:b/>
          <w:sz w:val="24"/>
          <w:szCs w:val="24"/>
        </w:rPr>
      </w:pPr>
      <w:r>
        <w:rPr>
          <w:rFonts w:hint="eastAsia" w:ascii="宋体" w:hAnsi="宋体" w:eastAsia="宋体" w:cs="宋体"/>
          <w:color w:val="000000"/>
          <w:sz w:val="24"/>
          <w:szCs w:val="24"/>
          <w:lang w:eastAsia="zh-CN"/>
        </w:rPr>
        <w:t>4.2本规定的解释权归业务管理部。</w:t>
      </w:r>
    </w:p>
    <w:p>
      <w:pPr>
        <w:spacing w:line="360" w:lineRule="auto"/>
        <w:rPr>
          <w:rFonts w:hint="eastAsia" w:ascii="宋体" w:hAnsi="宋体" w:eastAsia="宋体" w:cs="宋体"/>
          <w:b/>
          <w:bCs/>
          <w:sz w:val="24"/>
          <w:szCs w:val="24"/>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Ten Roman">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AQSCHYZD-2023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b/>
              <w:bCs/>
              <w:sz w:val="20"/>
              <w:szCs w:val="20"/>
            </w:rPr>
            <w:t>安全生产</w:t>
          </w:r>
          <w:r>
            <w:rPr>
              <w:rFonts w:hint="eastAsia"/>
              <w:b/>
              <w:bCs/>
              <w:sz w:val="20"/>
              <w:szCs w:val="20"/>
              <w:lang w:val="en-US" w:eastAsia="zh-CN"/>
            </w:rPr>
            <w:t>奖惩</w:t>
          </w:r>
          <w:r>
            <w:rPr>
              <w:rFonts w:hint="eastAsia"/>
              <w:b/>
              <w:bCs/>
              <w:sz w:val="20"/>
              <w:szCs w:val="20"/>
            </w:rPr>
            <w:t>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10</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2"/>
      <w:pBdr>
        <w:bottom w:val="none" w:color="auto" w:sz="0" w:space="1"/>
      </w:pBdr>
      <w:jc w:val="both"/>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265" w:type="dxa"/>
      <w:jc w:val="center"/>
      <w:tblLayout w:type="fixed"/>
      <w:tblCellMar>
        <w:top w:w="0" w:type="dxa"/>
        <w:left w:w="0" w:type="dxa"/>
        <w:bottom w:w="0" w:type="dxa"/>
        <w:right w:w="0" w:type="dxa"/>
      </w:tblCellMar>
    </w:tblPr>
    <w:tblGrid>
      <w:gridCol w:w="762"/>
      <w:gridCol w:w="800"/>
      <w:gridCol w:w="950"/>
      <w:gridCol w:w="917"/>
      <w:gridCol w:w="1050"/>
      <w:gridCol w:w="804"/>
      <w:gridCol w:w="930"/>
      <w:gridCol w:w="799"/>
      <w:gridCol w:w="2253"/>
    </w:tblGrid>
    <w:tr>
      <w:tblPrEx>
        <w:tblCellMar>
          <w:top w:w="0" w:type="dxa"/>
          <w:left w:w="0" w:type="dxa"/>
          <w:bottom w:w="0" w:type="dxa"/>
          <w:right w:w="0" w:type="dxa"/>
        </w:tblCellMar>
      </w:tblPrEx>
      <w:trPr>
        <w:cantSplit/>
        <w:trHeight w:val="269" w:hRule="atLeast"/>
        <w:jc w:val="center"/>
      </w:trPr>
      <w:tc>
        <w:tcPr>
          <w:tcW w:w="5283"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9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05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AQSCSGGLZD-2023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7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521"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default" w:ascii="宋体" w:hAnsi="宋体" w:eastAsiaTheme="minorEastAsia"/>
              <w:szCs w:val="21"/>
              <w:lang w:val="en-US" w:eastAsia="zh-CN"/>
            </w:rPr>
            <w:t>安全生产事故管理制度</w:t>
          </w:r>
        </w:p>
      </w:tc>
      <w:tc>
        <w:tcPr>
          <w:tcW w:w="9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79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225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12</w:t>
          </w:r>
          <w:r>
            <w:rPr>
              <w:rFonts w:hint="eastAsia"/>
              <w:b/>
              <w:bCs/>
            </w:rPr>
            <w:t>页</w:t>
          </w:r>
        </w:p>
      </w:tc>
    </w:tr>
    <w:tr>
      <w:tblPrEx>
        <w:tblCellMar>
          <w:top w:w="0" w:type="dxa"/>
          <w:left w:w="0" w:type="dxa"/>
          <w:bottom w:w="0" w:type="dxa"/>
          <w:right w:w="0" w:type="dxa"/>
        </w:tblCellMar>
      </w:tblPrEx>
      <w:trPr>
        <w:cantSplit/>
        <w:trHeight w:val="189" w:hRule="atLeast"/>
        <w:jc w:val="center"/>
      </w:trPr>
      <w:tc>
        <w:tcPr>
          <w:tcW w:w="7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804"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9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05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2"/>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138CA"/>
    <w:multiLevelType w:val="multilevel"/>
    <w:tmpl w:val="1D6138CA"/>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3BC786B"/>
    <w:multiLevelType w:val="multilevel"/>
    <w:tmpl w:val="63BC786B"/>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6B7D7916"/>
    <w:multiLevelType w:val="multilevel"/>
    <w:tmpl w:val="6B7D791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2"/>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E541DD"/>
    <w:rsid w:val="0B743BC9"/>
    <w:rsid w:val="0B98046A"/>
    <w:rsid w:val="0FD141C3"/>
    <w:rsid w:val="11A706B9"/>
    <w:rsid w:val="11D334FB"/>
    <w:rsid w:val="11F600D7"/>
    <w:rsid w:val="13145075"/>
    <w:rsid w:val="1368627B"/>
    <w:rsid w:val="17E8173E"/>
    <w:rsid w:val="19475930"/>
    <w:rsid w:val="1B715B45"/>
    <w:rsid w:val="1C540E62"/>
    <w:rsid w:val="1EA60393"/>
    <w:rsid w:val="202C0FB4"/>
    <w:rsid w:val="213C4FC9"/>
    <w:rsid w:val="22A7542C"/>
    <w:rsid w:val="260E2B09"/>
    <w:rsid w:val="26473ED0"/>
    <w:rsid w:val="2CBA7CDF"/>
    <w:rsid w:val="2DAD42EB"/>
    <w:rsid w:val="2DD41286"/>
    <w:rsid w:val="2EE971D6"/>
    <w:rsid w:val="2FAC16F6"/>
    <w:rsid w:val="31F87619"/>
    <w:rsid w:val="32B94714"/>
    <w:rsid w:val="33021B8B"/>
    <w:rsid w:val="33237387"/>
    <w:rsid w:val="34A640F4"/>
    <w:rsid w:val="35377ED2"/>
    <w:rsid w:val="35EF6B71"/>
    <w:rsid w:val="360A5E18"/>
    <w:rsid w:val="374F76FB"/>
    <w:rsid w:val="38D25620"/>
    <w:rsid w:val="3CF01CCF"/>
    <w:rsid w:val="3F6D0A65"/>
    <w:rsid w:val="3FBA776C"/>
    <w:rsid w:val="40CC0ED8"/>
    <w:rsid w:val="414A7C46"/>
    <w:rsid w:val="41FC66A4"/>
    <w:rsid w:val="42267595"/>
    <w:rsid w:val="42522137"/>
    <w:rsid w:val="42892A33"/>
    <w:rsid w:val="429955FF"/>
    <w:rsid w:val="432F3B2D"/>
    <w:rsid w:val="436A3622"/>
    <w:rsid w:val="43CC3AB9"/>
    <w:rsid w:val="44160433"/>
    <w:rsid w:val="44BB575E"/>
    <w:rsid w:val="47533CBC"/>
    <w:rsid w:val="48A907DA"/>
    <w:rsid w:val="499800C1"/>
    <w:rsid w:val="4B257199"/>
    <w:rsid w:val="4C87182C"/>
    <w:rsid w:val="4D633F8B"/>
    <w:rsid w:val="4DCA4FE6"/>
    <w:rsid w:val="4EDB3540"/>
    <w:rsid w:val="4F2828FA"/>
    <w:rsid w:val="51000C05"/>
    <w:rsid w:val="539D78BB"/>
    <w:rsid w:val="56355A77"/>
    <w:rsid w:val="59A958FF"/>
    <w:rsid w:val="59B209F8"/>
    <w:rsid w:val="5A3E57E0"/>
    <w:rsid w:val="5C273FB3"/>
    <w:rsid w:val="5D727568"/>
    <w:rsid w:val="5ED36EC0"/>
    <w:rsid w:val="5F650707"/>
    <w:rsid w:val="5FCA5376"/>
    <w:rsid w:val="60FD01C3"/>
    <w:rsid w:val="6157146B"/>
    <w:rsid w:val="623969F3"/>
    <w:rsid w:val="62B51F71"/>
    <w:rsid w:val="62E9411A"/>
    <w:rsid w:val="668579AF"/>
    <w:rsid w:val="6BE7740C"/>
    <w:rsid w:val="6C004B0A"/>
    <w:rsid w:val="6C0F0CED"/>
    <w:rsid w:val="6C2E204E"/>
    <w:rsid w:val="6CE71124"/>
    <w:rsid w:val="6CF438D5"/>
    <w:rsid w:val="6D25144D"/>
    <w:rsid w:val="6E5864B7"/>
    <w:rsid w:val="6F867812"/>
    <w:rsid w:val="70620E64"/>
    <w:rsid w:val="706F589F"/>
    <w:rsid w:val="710B44B6"/>
    <w:rsid w:val="73BD355B"/>
    <w:rsid w:val="741E2752"/>
    <w:rsid w:val="76922A9F"/>
    <w:rsid w:val="78363B67"/>
    <w:rsid w:val="78A91184"/>
    <w:rsid w:val="79616112"/>
    <w:rsid w:val="7A3420E8"/>
    <w:rsid w:val="7A820227"/>
    <w:rsid w:val="7B2F3497"/>
    <w:rsid w:val="7C852B1A"/>
    <w:rsid w:val="7D626FDE"/>
    <w:rsid w:val="7DEA0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3"/>
    <w:basedOn w:val="1"/>
    <w:next w:val="1"/>
    <w:qFormat/>
    <w:uiPriority w:val="0"/>
    <w:pPr>
      <w:keepNext/>
      <w:keepLines/>
      <w:widowControl w:val="0"/>
      <w:spacing w:before="260" w:after="260" w:line="416" w:lineRule="auto"/>
      <w:jc w:val="both"/>
      <w:outlineLvl w:val="2"/>
    </w:pPr>
    <w:rPr>
      <w:rFonts w:ascii="Times New Roman" w:hAnsi="Times New Roman"/>
      <w:b/>
      <w:bCs/>
      <w:kern w:val="2"/>
      <w:sz w:val="32"/>
      <w:szCs w:val="32"/>
      <w:lang w:val="en-US" w:eastAsia="zh-CN"/>
    </w:rPr>
  </w:style>
  <w:style w:type="paragraph" w:styleId="6">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7">
    <w:name w:val="Body Text Indent"/>
    <w:basedOn w:val="1"/>
    <w:qFormat/>
    <w:uiPriority w:val="0"/>
    <w:pPr>
      <w:spacing w:line="360" w:lineRule="auto"/>
      <w:ind w:firstLine="482" w:firstLineChars="200"/>
    </w:pPr>
    <w:rPr>
      <w:rFonts w:ascii="宋体" w:hAnsi="宋体"/>
      <w:b/>
      <w:sz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widowControl/>
      <w:spacing w:after="120" w:line="480" w:lineRule="auto"/>
      <w:ind w:left="420" w:leftChars="200"/>
      <w:jc w:val="left"/>
    </w:pPr>
    <w:rPr>
      <w:kern w:val="0"/>
      <w:sz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2"/>
    <w:basedOn w:val="1"/>
    <w:next w:val="1"/>
    <w:unhideWhenUsed/>
    <w:qFormat/>
    <w:uiPriority w:val="39"/>
    <w:pPr>
      <w:widowControl/>
      <w:spacing w:after="100" w:line="259" w:lineRule="auto"/>
      <w:ind w:left="220"/>
      <w:jc w:val="left"/>
    </w:pPr>
    <w:rPr>
      <w:rFonts w:cs="Times New Roman"/>
      <w:kern w:val="0"/>
      <w:sz w:val="2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9">
    <w:name w:val="List Paragraph"/>
    <w:basedOn w:val="1"/>
    <w:qFormat/>
    <w:uiPriority w:val="1"/>
    <w:pPr>
      <w:ind w:firstLine="420" w:firstLineChars="200"/>
    </w:pPr>
  </w:style>
  <w:style w:type="paragraph" w:customStyle="1" w:styleId="20">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标题 4_NM"/>
    <w:basedOn w:val="6"/>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3">
    <w:name w:val="标题 2_NM"/>
    <w:basedOn w:val="4"/>
    <w:qFormat/>
    <w:uiPriority w:val="0"/>
    <w:pPr>
      <w:outlineLvl w:val="9"/>
    </w:pPr>
    <w:rPr>
      <w:b w:val="0"/>
      <w:lang w:val="zh-CN"/>
    </w:rPr>
  </w:style>
  <w:style w:type="character" w:customStyle="1" w:styleId="24">
    <w:name w:val="Book Title"/>
    <w:basedOn w:val="17"/>
    <w:qFormat/>
    <w:uiPriority w:val="33"/>
    <w:rPr>
      <w:b/>
      <w:bCs/>
      <w:i/>
      <w:iCs/>
      <w:spacing w:val="5"/>
    </w:r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5795</Words>
  <Characters>5981</Characters>
  <Lines>0</Lines>
  <Paragraphs>0</Paragraphs>
  <TotalTime>0</TotalTime>
  <ScaleCrop>false</ScaleCrop>
  <LinksUpToDate>false</LinksUpToDate>
  <CharactersWithSpaces>6176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2023-08-01T08:07:04Z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