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486" w:type="dxa"/>
        <w:jc w:val="center"/>
        <w:tblBorders>
          <w:top w:val="double" w:color="000000" w:sz="4" w:space="0"/>
          <w:left w:val="double" w:color="000000" w:sz="4" w:space="0"/>
          <w:bottom w:val="double" w:color="auto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953"/>
        <w:gridCol w:w="1169"/>
        <w:gridCol w:w="1011"/>
        <w:gridCol w:w="702"/>
        <w:gridCol w:w="945"/>
        <w:gridCol w:w="971"/>
        <w:gridCol w:w="3013"/>
      </w:tblGrid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50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等线" w:hAnsi="等线" w:cs="仿宋"/>
                <w:szCs w:val="21"/>
              </w:rPr>
              <w:t>成都万科物业服务有限公司南充分公司</w:t>
            </w:r>
            <w:r>
              <w:rPr>
                <w:rFonts w:hint="eastAsia" w:ascii="等线" w:hAnsi="等线" w:cs="仿宋"/>
                <w:szCs w:val="21"/>
                <w:lang w:val="en-US" w:eastAsia="zh-CN"/>
              </w:rPr>
              <w:t>安全生产</w:t>
            </w:r>
            <w:r>
              <w:rPr>
                <w:rFonts w:hint="eastAsia" w:ascii="等线" w:hAnsi="等线" w:cs="仿宋"/>
                <w:szCs w:val="21"/>
              </w:rPr>
              <w:t>管理制度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/>
              </w:rPr>
              <w:t>NCHF-</w:t>
            </w:r>
            <w:r>
              <w:rPr>
                <w:rFonts w:hint="eastAsia" w:ascii="宋体" w:hAnsi="宋体"/>
                <w:lang w:val="en-US" w:eastAsia="zh-CN"/>
              </w:rPr>
              <w:t>AQSCHYZD-2023</w:t>
            </w:r>
            <w:r>
              <w:rPr>
                <w:rFonts w:ascii="宋体" w:hAnsi="宋体"/>
              </w:rPr>
              <w:t>-00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2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78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安全生产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奖惩制度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A/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72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编制</w:t>
            </w:r>
          </w:p>
        </w:tc>
        <w:tc>
          <w:tcPr>
            <w:tcW w:w="95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ind w:firstLine="105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任佳</w:t>
            </w:r>
          </w:p>
        </w:tc>
        <w:tc>
          <w:tcPr>
            <w:tcW w:w="1169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谌永忠</w:t>
            </w:r>
          </w:p>
        </w:tc>
        <w:tc>
          <w:tcPr>
            <w:tcW w:w="702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</w:t>
            </w:r>
          </w:p>
        </w:tc>
        <w:tc>
          <w:tcPr>
            <w:tcW w:w="945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jc w:val="center"/>
            </w:pPr>
            <w:r>
              <w:rPr>
                <w:rFonts w:hint="eastAsia"/>
                <w:lang w:val="en-US" w:eastAsia="zh-CN"/>
              </w:rPr>
              <w:t>夏勇</w:t>
            </w:r>
          </w:p>
        </w:tc>
        <w:tc>
          <w:tcPr>
            <w:tcW w:w="971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生效期</w:t>
            </w:r>
          </w:p>
        </w:tc>
        <w:tc>
          <w:tcPr>
            <w:tcW w:w="3013" w:type="dxa"/>
            <w:tcBorders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pBdr>
                <w:bottom w:val="none" w:color="auto" w:sz="0" w:space="0"/>
              </w:pBdr>
              <w:jc w:val="center"/>
            </w:pPr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  <w:lang w:val="en-US" w:eastAsia="zh-CN"/>
              </w:rPr>
              <w:t>3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06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auto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3" w:hRule="atLeast"/>
          <w:jc w:val="center"/>
        </w:trPr>
        <w:tc>
          <w:tcPr>
            <w:tcW w:w="9486" w:type="dxa"/>
            <w:gridSpan w:val="8"/>
            <w:tcBorders>
              <w:top w:val="single" w:color="000000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52"/>
                <w:szCs w:val="5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成都万科物业服务有限公司南充分公司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lang w:val="en-US" w:eastAsia="zh-CN"/>
              </w:rPr>
              <w:t>安全生产奖惩制度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编制：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任  佳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审核：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谌永忠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批准：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  夏  勇     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日期：</w:t>
            </w:r>
            <w:r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  <w:t xml:space="preserve">  2023-6-30  </w:t>
            </w: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both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pStyle w:val="9"/>
              <w:pBdr>
                <w:bottom w:val="none" w:color="auto" w:sz="0" w:space="0"/>
              </w:pBdr>
              <w:jc w:val="center"/>
              <w:rPr>
                <w:rFonts w:hint="default" w:ascii="黑体" w:hAnsi="黑体" w:eastAsia="黑体" w:cs="黑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生效日期：2023年6月30日</w:t>
            </w:r>
          </w:p>
        </w:tc>
      </w:tr>
    </w:tbl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083" w:bottom="1440" w:left="10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4" w:charSpace="0"/>
        </w:sect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sz w:val="36"/>
          <w:szCs w:val="44"/>
        </w:rPr>
      </w:pPr>
    </w:p>
    <w:sdt>
      <w:sdtPr>
        <w:rPr>
          <w:rFonts w:hint="eastAsia" w:ascii="宋体" w:hAnsi="宋体" w:eastAsia="宋体" w:cs="宋体"/>
          <w:kern w:val="2"/>
          <w:sz w:val="36"/>
          <w:szCs w:val="44"/>
          <w:lang w:val="en-US" w:eastAsia="zh-CN" w:bidi="ar-SA"/>
        </w:rPr>
        <w:id w:val="14746143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6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44"/>
            </w:rPr>
            <w:t>目录</w:t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_Toc26742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1.  目的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_Toc26742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_Toc12410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6"/>
              <w:szCs w:val="44"/>
              <w:lang w:val="en-US" w:eastAsia="zh-CN"/>
            </w:rPr>
            <w:t>2.  适用</w:t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  <w:lang w:val="en-US" w:eastAsia="zh-CN"/>
            </w:rPr>
            <w:t>范围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_Toc12410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_Toc3419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3.  类别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_Toc3419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_Toc10875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4. 奖励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_Toc10875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3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  <w:bookmarkStart w:id="22" w:name="_GoBack"/>
          <w:bookmarkEnd w:id="22"/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  <w:rPr>
              <w:rFonts w:hint="eastAsia" w:ascii="宋体" w:hAnsi="宋体" w:eastAsia="宋体" w:cs="宋体"/>
              <w:sz w:val="36"/>
              <w:szCs w:val="44"/>
            </w:rPr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_Toc24228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5、处罚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_Toc24228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4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pPr>
            <w:pStyle w:val="8"/>
            <w:tabs>
              <w:tab w:val="right" w:leader="dot" w:pos="9740"/>
            </w:tabs>
            <w:ind w:left="0" w:leftChars="0" w:firstLine="0" w:firstLineChars="0"/>
          </w:pPr>
          <w:r>
            <w:rPr>
              <w:rFonts w:hint="eastAsia" w:ascii="宋体" w:hAnsi="宋体" w:eastAsia="宋体" w:cs="宋体"/>
              <w:sz w:val="36"/>
              <w:szCs w:val="52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52"/>
            </w:rPr>
            <w:instrText xml:space="preserve"> HYPERLINK \l _Toc28890 </w:instrText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separate"/>
          </w:r>
          <w:r>
            <w:rPr>
              <w:rFonts w:hint="eastAsia" w:ascii="宋体" w:hAnsi="宋体" w:eastAsia="宋体" w:cs="宋体"/>
              <w:kern w:val="0"/>
              <w:sz w:val="36"/>
              <w:szCs w:val="44"/>
            </w:rPr>
            <w:t>6、本制度从下发之日起实行。</w:t>
          </w:r>
          <w:r>
            <w:rPr>
              <w:rFonts w:hint="eastAsia" w:ascii="宋体" w:hAnsi="宋体" w:eastAsia="宋体" w:cs="宋体"/>
              <w:sz w:val="36"/>
              <w:szCs w:val="44"/>
            </w:rPr>
            <w:tab/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4"/>
            </w:rPr>
            <w:instrText xml:space="preserve"> PAGEREF _Toc28890 \h </w:instrTex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separate"/>
          </w:r>
          <w:r>
            <w:rPr>
              <w:rFonts w:hint="eastAsia" w:ascii="宋体" w:hAnsi="宋体" w:eastAsia="宋体" w:cs="宋体"/>
              <w:sz w:val="36"/>
              <w:szCs w:val="44"/>
            </w:rPr>
            <w:t>4</w:t>
          </w:r>
          <w:r>
            <w:rPr>
              <w:rFonts w:hint="eastAsia" w:ascii="宋体" w:hAnsi="宋体" w:eastAsia="宋体" w:cs="宋体"/>
              <w:sz w:val="36"/>
              <w:szCs w:val="44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52"/>
            </w:rPr>
            <w:fldChar w:fldCharType="end"/>
          </w:r>
        </w:p>
        <w:p>
          <w:r>
            <w:rPr>
              <w:rFonts w:hint="eastAsia" w:ascii="宋体" w:hAnsi="宋体" w:eastAsia="宋体" w:cs="宋体"/>
              <w:szCs w:val="32"/>
            </w:rPr>
            <w:fldChar w:fldCharType="end"/>
          </w:r>
        </w:p>
      </w:sdtContent>
    </w:sdt>
    <w:p>
      <w:pP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br w:type="page"/>
      </w:r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0" w:name="_Toc26742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1.  目的</w:t>
      </w:r>
      <w:bookmarkEnd w:id="0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" w:name="_Toc398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为强化安全管理，充分调动员工安全生产的主动性和积极性，杜绝违章违纪现象，减少安全事故发生，根据奖惩分明的原则，特制定本制度。</w:t>
      </w:r>
      <w:bookmarkEnd w:id="1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bookmarkStart w:id="2" w:name="_Toc12410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2.  适用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范围</w:t>
      </w:r>
      <w:bookmarkEnd w:id="2"/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3" w:name="_Toc2513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本制度适用于公司全体员工。</w:t>
      </w:r>
      <w:bookmarkEnd w:id="3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4" w:name="_Toc3419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3.  类别</w:t>
      </w:r>
      <w:bookmarkEnd w:id="4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 xml:space="preserve"> </w:t>
      </w:r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5" w:name="_Toc18495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根据公司《员工奖惩实施办法》的相关规定，对安全生产管理工作进行奖惩。其中，奖励包括现金奖励、通报表彰、记功、记大功；处罚包括罚款和追究赔偿责任，同时视情节给予通报批评、记过、记大过、开除等处分。</w:t>
      </w:r>
      <w:bookmarkEnd w:id="5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6" w:name="_Toc10875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4. 奖励</w:t>
      </w:r>
      <w:bookmarkEnd w:id="6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7" w:name="_Toc24762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4.1  奖励内容</w:t>
      </w:r>
      <w:bookmarkEnd w:id="7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8" w:name="_Toc975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4.1.1  全年或季度安全生产目标责任执行良好的项目，公司、管理中心根据情况，给予通报表扬。</w:t>
      </w:r>
      <w:bookmarkEnd w:id="8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9" w:name="_Toc24811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  其他类型的奖励</w:t>
      </w:r>
      <w:bookmarkEnd w:id="9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0" w:name="_Toc1564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凡具有下列情况之一者，按其事迹情况，可上报公司、管理中心给予奖励。</w:t>
      </w:r>
      <w:bookmarkEnd w:id="10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1" w:name="_Toc29228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4.2.1及时发现重大事故隐患，采取有效措施，积极参与抢险救灾，避免重大火灾、爆炸、人身伤亡、主要设备损坏以及有其他显著成绩者。</w:t>
      </w:r>
      <w:bookmarkEnd w:id="11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2" w:name="_Toc17671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4.2.2  为保证安全生产，积极提出合理化建议，经有关部门审查，确有很大价值，列为安全技术措施项目，实施后，经实践考核有效者。</w:t>
      </w:r>
      <w:bookmarkEnd w:id="12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3" w:name="_Toc1882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4.2.3  对改善劳动条件，消除尘、毒和噪音危害，预防职业病发生，对环境保护贡献较大的技术改进项目的主要成员。</w:t>
      </w:r>
      <w:bookmarkEnd w:id="13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4" w:name="_Toc15949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4.2.4  在发生重大事故中，临危不惧，奋勇抢救，保护公司财产和人身安全，避免事故扩大，措施得力，成绩突出者。</w:t>
      </w:r>
      <w:bookmarkEnd w:id="14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5" w:name="_Toc11487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4.2.5  举报事故经确认属实者。</w:t>
      </w:r>
      <w:bookmarkEnd w:id="15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6" w:name="_Toc16213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4.2.6  在安全专项活动及安全宣传教育中成绩显著的单位和个人。</w:t>
      </w:r>
      <w:bookmarkEnd w:id="16"/>
    </w:p>
    <w:p>
      <w:pPr>
        <w:pStyle w:val="5"/>
        <w:snapToGrid w:val="0"/>
        <w:spacing w:line="360" w:lineRule="auto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  <w:bookmarkStart w:id="17" w:name="_Toc24228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5、处罚</w:t>
      </w:r>
      <w:bookmarkEnd w:id="17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8" w:name="_Toc26902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对违反《安全生产管理制度》和《安全操作规程》的部门、个人，将严格追究其违章违纪行为和所造成事故的赔偿责任，情节严重者，送交司法机关。</w:t>
      </w:r>
      <w:bookmarkEnd w:id="18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19" w:name="_Toc2898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5.1  一般违纪行为处罚：根据《员工奖惩制度》执行。</w:t>
      </w:r>
      <w:bookmarkEnd w:id="19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20" w:name="_Toc12245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5.2  安全事故的处罚：根据《质量事故》判定执行。</w:t>
      </w:r>
      <w:bookmarkEnd w:id="20"/>
    </w:p>
    <w:p>
      <w:pPr>
        <w:pStyle w:val="5"/>
        <w:snapToGrid w:val="0"/>
        <w:spacing w:line="360" w:lineRule="auto"/>
        <w:rPr>
          <w:rFonts w:ascii="宋体" w:hAnsi="宋体" w:cs="宋体"/>
          <w:b w:val="0"/>
          <w:color w:val="000000"/>
          <w:kern w:val="0"/>
          <w:sz w:val="24"/>
          <w:szCs w:val="24"/>
        </w:rPr>
      </w:pPr>
      <w:bookmarkStart w:id="21" w:name="_Toc28890"/>
      <w:r>
        <w:rPr>
          <w:rFonts w:hint="eastAsia" w:ascii="宋体" w:hAnsi="宋体" w:cs="宋体"/>
          <w:b w:val="0"/>
          <w:color w:val="000000"/>
          <w:kern w:val="0"/>
          <w:sz w:val="24"/>
          <w:szCs w:val="24"/>
        </w:rPr>
        <w:t>6、本制度从下发之日起实行。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083" w:bottom="1440" w:left="10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Ten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9388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6"/>
      <w:gridCol w:w="800"/>
      <w:gridCol w:w="950"/>
      <w:gridCol w:w="917"/>
      <w:gridCol w:w="1050"/>
      <w:gridCol w:w="735"/>
      <w:gridCol w:w="862"/>
      <w:gridCol w:w="936"/>
      <w:gridCol w:w="2172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69" w:hRule="atLeast"/>
        <w:jc w:val="center"/>
      </w:trPr>
      <w:tc>
        <w:tcPr>
          <w:tcW w:w="5418" w:type="dxa"/>
          <w:gridSpan w:val="6"/>
          <w:tc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both"/>
            <w:rPr>
              <w:b/>
              <w:bCs/>
              <w:szCs w:val="21"/>
            </w:rPr>
          </w:pPr>
          <w:r>
            <w:rPr>
              <w:rFonts w:hint="eastAsia" w:ascii="等线" w:hAnsi="等线" w:cs="仿宋"/>
              <w:sz w:val="20"/>
              <w:szCs w:val="20"/>
            </w:rPr>
            <w:t>成都万科物业服务有限公司南充分公司</w:t>
          </w:r>
          <w:r>
            <w:rPr>
              <w:rFonts w:hint="eastAsia" w:ascii="等线" w:hAnsi="等线" w:cs="仿宋"/>
              <w:sz w:val="20"/>
              <w:szCs w:val="20"/>
              <w:lang w:val="en-US" w:eastAsia="zh-CN"/>
            </w:rPr>
            <w:t>安全生产</w:t>
          </w:r>
          <w:r>
            <w:rPr>
              <w:rFonts w:hint="eastAsia" w:ascii="等线" w:hAnsi="等线" w:cs="仿宋"/>
              <w:sz w:val="20"/>
              <w:szCs w:val="20"/>
            </w:rPr>
            <w:t>管理制度</w:t>
          </w:r>
        </w:p>
      </w:tc>
      <w:tc>
        <w:tcPr>
          <w:tcW w:w="862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编号</w:t>
          </w:r>
        </w:p>
      </w:tc>
      <w:tc>
        <w:tcPr>
          <w:tcW w:w="3108" w:type="dxa"/>
          <w:gridSpan w:val="2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eastAsia" w:ascii="宋体" w:hAnsi="宋体" w:eastAsiaTheme="minorEastAsia"/>
              <w:szCs w:val="21"/>
              <w:lang w:val="en-US" w:eastAsia="zh-CN"/>
            </w:rPr>
          </w:pPr>
          <w:r>
            <w:rPr>
              <w:rFonts w:ascii="宋体" w:hAnsi="宋体"/>
            </w:rPr>
            <w:t>NCHF-</w:t>
          </w:r>
          <w:r>
            <w:rPr>
              <w:rFonts w:hint="eastAsia" w:ascii="宋体" w:hAnsi="宋体"/>
              <w:lang w:val="en-US" w:eastAsia="zh-CN"/>
            </w:rPr>
            <w:t>AQSCHYZD-2023</w:t>
          </w:r>
          <w:r>
            <w:rPr>
              <w:rFonts w:ascii="宋体" w:hAnsi="宋体"/>
            </w:rPr>
            <w:t>-00</w:t>
          </w:r>
          <w:r>
            <w:rPr>
              <w:rFonts w:hint="eastAsia" w:ascii="宋体" w:hAnsi="宋体"/>
              <w:lang w:val="en-US" w:eastAsia="zh-CN"/>
            </w:rPr>
            <w:t>1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90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名称</w:t>
          </w:r>
        </w:p>
      </w:tc>
      <w:tc>
        <w:tcPr>
          <w:tcW w:w="4452" w:type="dxa"/>
          <w:gridSpan w:val="5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  <w:rPr>
              <w:rFonts w:hint="default" w:ascii="宋体" w:hAnsi="宋体" w:eastAsiaTheme="minorEastAsia"/>
              <w:szCs w:val="21"/>
              <w:lang w:val="en-US" w:eastAsia="zh-CN"/>
            </w:rPr>
          </w:pPr>
          <w:r>
            <w:rPr>
              <w:rFonts w:hint="eastAsia"/>
              <w:b/>
              <w:bCs/>
              <w:sz w:val="20"/>
              <w:szCs w:val="20"/>
            </w:rPr>
            <w:t>安全生产会议制度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版本</w:t>
          </w:r>
        </w:p>
      </w:tc>
      <w:tc>
        <w:tcPr>
          <w:tcW w:w="936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</w:rPr>
            <w:t>A/0</w:t>
          </w:r>
        </w:p>
      </w:tc>
      <w:tc>
        <w:tcPr>
          <w:tcW w:w="217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 xml:space="preserve">第 </w:t>
          </w:r>
          <w:r>
            <w:rPr>
              <w:rFonts w:hint="eastAsia"/>
              <w:b/>
              <w:bCs/>
            </w:rPr>
            <w:fldChar w:fldCharType="begin"/>
          </w:r>
          <w:r>
            <w:rPr>
              <w:rFonts w:hint="eastAsia"/>
              <w:b/>
              <w:bCs/>
            </w:rPr>
            <w:instrText xml:space="preserve"> PAGE   \* MERGEFORMAT </w:instrText>
          </w:r>
          <w:r>
            <w:rPr>
              <w:rFonts w:hint="eastAsia"/>
              <w:b/>
              <w:bCs/>
            </w:rPr>
            <w:fldChar w:fldCharType="separate"/>
          </w:r>
          <w:r>
            <w:rPr>
              <w:b/>
              <w:bCs/>
            </w:rPr>
            <w:t>4</w:t>
          </w:r>
          <w:r>
            <w:rPr>
              <w:rFonts w:hint="eastAsia"/>
              <w:b/>
              <w:bCs/>
            </w:rPr>
            <w:fldChar w:fldCharType="end"/>
          </w:r>
          <w:r>
            <w:rPr>
              <w:rFonts w:hint="eastAsia"/>
              <w:b/>
              <w:bCs/>
            </w:rPr>
            <w:t xml:space="preserve"> 页 共</w:t>
          </w:r>
          <w:r>
            <w:rPr>
              <w:rFonts w:hint="eastAsia"/>
              <w:b/>
              <w:bCs/>
              <w:lang w:val="en-US" w:eastAsia="zh-CN"/>
            </w:rPr>
            <w:t>5</w:t>
          </w:r>
          <w:r>
            <w:rPr>
              <w:rFonts w:hint="eastAsia"/>
              <w:b/>
              <w:bCs/>
            </w:rPr>
            <w:t>页</w:t>
          </w: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537" w:hRule="atLeast"/>
        <w:jc w:val="center"/>
      </w:trPr>
      <w:tc>
        <w:tcPr>
          <w:tcW w:w="966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编制</w:t>
          </w:r>
        </w:p>
      </w:tc>
      <w:tc>
        <w:tcPr>
          <w:tcW w:w="80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ind w:firstLine="105" w:firstLineChars="0"/>
            <w:jc w:val="center"/>
            <w:rPr>
              <w:rFonts w:hint="eastAsia" w:ascii="宋体" w:hAnsi="宋体" w:eastAsiaTheme="minorEastAsia"/>
              <w:szCs w:val="21"/>
              <w:lang w:eastAsia="zh-CN"/>
            </w:rPr>
          </w:pPr>
          <w:r>
            <w:rPr>
              <w:rFonts w:hint="eastAsia" w:ascii="宋体" w:hAnsi="宋体"/>
              <w:szCs w:val="21"/>
              <w:lang w:val="en-US" w:eastAsia="zh-CN"/>
            </w:rPr>
            <w:t>任佳</w:t>
          </w:r>
        </w:p>
      </w:tc>
      <w:tc>
        <w:tcPr>
          <w:tcW w:w="9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审核</w:t>
          </w:r>
        </w:p>
      </w:tc>
      <w:tc>
        <w:tcPr>
          <w:tcW w:w="917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谌永忠</w:t>
          </w:r>
        </w:p>
      </w:tc>
      <w:tc>
        <w:tcPr>
          <w:tcW w:w="1050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批准</w:t>
          </w:r>
        </w:p>
      </w:tc>
      <w:tc>
        <w:tcPr>
          <w:tcW w:w="735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Bdr>
              <w:bottom w:val="none" w:color="auto" w:sz="0" w:space="0"/>
            </w:pBdr>
            <w:jc w:val="center"/>
          </w:pPr>
          <w:r>
            <w:rPr>
              <w:rFonts w:hint="eastAsia"/>
              <w:lang w:val="en-US" w:eastAsia="zh-CN"/>
            </w:rPr>
            <w:t>夏勇</w:t>
          </w:r>
        </w:p>
      </w:tc>
      <w:tc>
        <w:tcPr>
          <w:tcW w:w="862" w:type="dxa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生效期</w:t>
          </w:r>
        </w:p>
      </w:tc>
      <w:tc>
        <w:tcPr>
          <w:tcW w:w="3108" w:type="dxa"/>
          <w:gridSpan w:val="2"/>
          <w:tcBorders>
            <w:top w:val="nil"/>
            <w:left w:val="nil"/>
            <w:bottom w:val="single" w:color="auto" w:sz="8" w:space="0"/>
            <w:right w:val="single" w:color="auto" w:sz="8" w:space="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9"/>
            <w:pBdr>
              <w:bottom w:val="none" w:color="auto" w:sz="0" w:space="0"/>
            </w:pBdr>
            <w:jc w:val="center"/>
          </w:pPr>
          <w:r>
            <w:rPr>
              <w:rFonts w:hint="eastAsia"/>
              <w:b/>
              <w:bCs/>
            </w:rPr>
            <w:t>202</w:t>
          </w:r>
          <w:r>
            <w:rPr>
              <w:rFonts w:hint="eastAsia"/>
              <w:b/>
              <w:bCs/>
              <w:lang w:val="en-US" w:eastAsia="zh-CN"/>
            </w:rPr>
            <w:t>3</w:t>
          </w:r>
          <w:r>
            <w:rPr>
              <w:rFonts w:hint="eastAsia"/>
              <w:b/>
              <w:bCs/>
            </w:rPr>
            <w:t>年</w:t>
          </w:r>
          <w:r>
            <w:rPr>
              <w:rFonts w:hint="eastAsia"/>
              <w:b/>
              <w:bCs/>
              <w:lang w:val="en-US" w:eastAsia="zh-CN"/>
            </w:rPr>
            <w:t>06</w:t>
          </w:r>
          <w:r>
            <w:rPr>
              <w:rFonts w:hint="eastAsia"/>
              <w:b/>
              <w:bCs/>
            </w:rPr>
            <w:t>月</w:t>
          </w:r>
          <w:r>
            <w:rPr>
              <w:rFonts w:hint="eastAsia"/>
              <w:b/>
              <w:bCs/>
              <w:lang w:val="en-US" w:eastAsia="zh-CN"/>
            </w:rPr>
            <w:t>30</w:t>
          </w:r>
          <w:r>
            <w:rPr>
              <w:rFonts w:hint="eastAsia"/>
              <w:b/>
              <w:bCs/>
            </w:rPr>
            <w:t>日</w:t>
          </w:r>
        </w:p>
      </w:tc>
    </w:tr>
  </w:tbl>
  <w:p>
    <w:pPr>
      <w:pStyle w:val="12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4174C"/>
    <w:multiLevelType w:val="multilevel"/>
    <w:tmpl w:val="73B4174C"/>
    <w:lvl w:ilvl="0" w:tentative="0">
      <w:start w:val="1"/>
      <w:numFmt w:val="decimal"/>
      <w:suff w:val="space"/>
      <w:lvlText w:val="%1"/>
      <w:lvlJc w:val="left"/>
      <w:pPr>
        <w:ind w:left="210" w:hanging="210"/>
      </w:pPr>
      <w:rPr>
        <w:rFonts w:hint="eastAsia" w:ascii="Arial" w:hAnsi="Arial" w:eastAsia="宋体"/>
        <w:b/>
        <w:i w:val="0"/>
        <w:sz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607" w:hanging="607"/>
      </w:pPr>
      <w:rPr>
        <w:rFonts w:hint="eastAsia"/>
      </w:rPr>
    </w:lvl>
    <w:lvl w:ilvl="3" w:tentative="0">
      <w:start w:val="1"/>
      <w:numFmt w:val="decimal"/>
      <w:pStyle w:val="22"/>
      <w:suff w:val="space"/>
      <w:lvlText w:val="(%4)"/>
      <w:lvlJc w:val="left"/>
      <w:pPr>
        <w:ind w:left="527" w:hanging="357"/>
      </w:pPr>
      <w:rPr>
        <w:rFonts w:hint="eastAsia"/>
      </w:rPr>
    </w:lvl>
    <w:lvl w:ilvl="4" w:tentative="0">
      <w:start w:val="1"/>
      <w:numFmt w:val="upperLetter"/>
      <w:suff w:val="space"/>
      <w:lvlText w:val="%5."/>
      <w:lvlJc w:val="left"/>
      <w:pPr>
        <w:ind w:left="629" w:hanging="289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3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jhjOGE4ZjNmOWNjMWY2YzY3NzIzNmNjMjRlNTAifQ=="/>
  </w:docVars>
  <w:rsids>
    <w:rsidRoot w:val="7C852B1A"/>
    <w:rsid w:val="004505B6"/>
    <w:rsid w:val="00C33403"/>
    <w:rsid w:val="01850F77"/>
    <w:rsid w:val="024A6B88"/>
    <w:rsid w:val="04A43DC5"/>
    <w:rsid w:val="04BC5D9C"/>
    <w:rsid w:val="065E65CE"/>
    <w:rsid w:val="09AE56A8"/>
    <w:rsid w:val="09E541DD"/>
    <w:rsid w:val="0B743BC9"/>
    <w:rsid w:val="0B98046A"/>
    <w:rsid w:val="11A706B9"/>
    <w:rsid w:val="11D334FB"/>
    <w:rsid w:val="11F600D7"/>
    <w:rsid w:val="13145075"/>
    <w:rsid w:val="17E8173E"/>
    <w:rsid w:val="19475930"/>
    <w:rsid w:val="1B715B45"/>
    <w:rsid w:val="1C540E62"/>
    <w:rsid w:val="1EA60393"/>
    <w:rsid w:val="202C0FB4"/>
    <w:rsid w:val="213C4FC9"/>
    <w:rsid w:val="22A7542C"/>
    <w:rsid w:val="260E2B09"/>
    <w:rsid w:val="26473ED0"/>
    <w:rsid w:val="2DAD42EB"/>
    <w:rsid w:val="2DD41286"/>
    <w:rsid w:val="2EE971D6"/>
    <w:rsid w:val="2FAC16F6"/>
    <w:rsid w:val="31F87619"/>
    <w:rsid w:val="32B94714"/>
    <w:rsid w:val="33021B8B"/>
    <w:rsid w:val="33237387"/>
    <w:rsid w:val="34A640F4"/>
    <w:rsid w:val="35377ED2"/>
    <w:rsid w:val="374F76FB"/>
    <w:rsid w:val="3CF01CCF"/>
    <w:rsid w:val="3F6D0A65"/>
    <w:rsid w:val="3FBA776C"/>
    <w:rsid w:val="414A7C46"/>
    <w:rsid w:val="42267595"/>
    <w:rsid w:val="42522137"/>
    <w:rsid w:val="42892A33"/>
    <w:rsid w:val="429955FF"/>
    <w:rsid w:val="432F3B2D"/>
    <w:rsid w:val="43CC3AB9"/>
    <w:rsid w:val="44160433"/>
    <w:rsid w:val="44BB575E"/>
    <w:rsid w:val="47533CBC"/>
    <w:rsid w:val="499800C1"/>
    <w:rsid w:val="4B257199"/>
    <w:rsid w:val="4C87182C"/>
    <w:rsid w:val="4D633F8B"/>
    <w:rsid w:val="4DCA4FE6"/>
    <w:rsid w:val="4EDB3540"/>
    <w:rsid w:val="4F2828FA"/>
    <w:rsid w:val="51000C05"/>
    <w:rsid w:val="539D78BB"/>
    <w:rsid w:val="56355A77"/>
    <w:rsid w:val="59A958FF"/>
    <w:rsid w:val="5A3E57E0"/>
    <w:rsid w:val="5C273FB3"/>
    <w:rsid w:val="5D727568"/>
    <w:rsid w:val="5ED36EC0"/>
    <w:rsid w:val="5F650707"/>
    <w:rsid w:val="5FCA5376"/>
    <w:rsid w:val="60FD01C3"/>
    <w:rsid w:val="6157146B"/>
    <w:rsid w:val="62E9411A"/>
    <w:rsid w:val="668579AF"/>
    <w:rsid w:val="6BE7740C"/>
    <w:rsid w:val="6C004B0A"/>
    <w:rsid w:val="6C0F0CED"/>
    <w:rsid w:val="6C2E204E"/>
    <w:rsid w:val="6CE71124"/>
    <w:rsid w:val="6CF438D5"/>
    <w:rsid w:val="6D25144D"/>
    <w:rsid w:val="6E5864B7"/>
    <w:rsid w:val="6F867812"/>
    <w:rsid w:val="70620E64"/>
    <w:rsid w:val="706F589F"/>
    <w:rsid w:val="710B44B6"/>
    <w:rsid w:val="73BD355B"/>
    <w:rsid w:val="76922A9F"/>
    <w:rsid w:val="78363B67"/>
    <w:rsid w:val="78A91184"/>
    <w:rsid w:val="79616112"/>
    <w:rsid w:val="7A3420E8"/>
    <w:rsid w:val="7A820227"/>
    <w:rsid w:val="7B2F3497"/>
    <w:rsid w:val="7C852B1A"/>
    <w:rsid w:val="7D6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next w:val="1"/>
    <w:qFormat/>
    <w:uiPriority w:val="99"/>
    <w:pPr>
      <w:numPr>
        <w:ilvl w:val="1"/>
        <w:numId w:val="1"/>
      </w:numPr>
      <w:spacing w:line="360" w:lineRule="auto"/>
      <w:outlineLvl w:val="1"/>
    </w:pPr>
    <w:rPr>
      <w:rFonts w:ascii="Arial" w:hAnsi="Arial" w:eastAsia="宋体" w:cs="Times New Roman"/>
      <w:b/>
      <w:snapToGrid w:val="0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/>
      <w:b/>
      <w:bCs/>
      <w:kern w:val="2"/>
      <w:sz w:val="32"/>
      <w:szCs w:val="32"/>
      <w:lang w:val="en-US" w:eastAsia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7">
    <w:name w:val="Body Text Indent"/>
    <w:basedOn w:val="1"/>
    <w:qFormat/>
    <w:uiPriority w:val="0"/>
    <w:pPr>
      <w:spacing w:line="360" w:lineRule="auto"/>
      <w:ind w:firstLine="482" w:firstLineChars="200"/>
    </w:pPr>
    <w:rPr>
      <w:rFonts w:ascii="宋体" w:hAnsi="宋体"/>
      <w:b/>
      <w:sz w:val="24"/>
    </w:rPr>
  </w:style>
  <w:style w:type="paragraph" w:styleId="8">
    <w:name w:val="toc 3"/>
    <w:basedOn w:val="1"/>
    <w:next w:val="1"/>
    <w:uiPriority w:val="0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9">
    <w:name w:val="List Paragraph"/>
    <w:basedOn w:val="1"/>
    <w:qFormat/>
    <w:uiPriority w:val="1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标题 4_NM"/>
    <w:basedOn w:val="6"/>
    <w:qFormat/>
    <w:uiPriority w:val="0"/>
    <w:pPr>
      <w:keepNext w:val="0"/>
      <w:keepLines w:val="0"/>
      <w:widowControl/>
      <w:numPr>
        <w:ilvl w:val="3"/>
        <w:numId w:val="1"/>
      </w:numPr>
      <w:spacing w:before="0" w:after="0" w:line="360" w:lineRule="auto"/>
      <w:ind w:left="1680" w:hanging="420"/>
      <w:jc w:val="left"/>
      <w:outlineLvl w:val="9"/>
    </w:pPr>
    <w:rPr>
      <w:rFonts w:ascii="Arial" w:hAnsi="Arial" w:eastAsia="宋体" w:cs="Times New Roman"/>
      <w:b w:val="0"/>
      <w:bCs w:val="0"/>
      <w:kern w:val="0"/>
      <w:sz w:val="24"/>
      <w:szCs w:val="24"/>
    </w:rPr>
  </w:style>
  <w:style w:type="paragraph" w:customStyle="1" w:styleId="23">
    <w:name w:val="标题 2_NM"/>
    <w:basedOn w:val="4"/>
    <w:qFormat/>
    <w:uiPriority w:val="0"/>
    <w:pPr>
      <w:outlineLvl w:val="9"/>
    </w:pPr>
    <w:rPr>
      <w:b w:val="0"/>
      <w:lang w:val="zh-CN"/>
    </w:rPr>
  </w:style>
  <w:style w:type="character" w:customStyle="1" w:styleId="24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1601</Words>
  <Characters>1728</Characters>
  <Lines>0</Lines>
  <Paragraphs>0</Paragraphs>
  <TotalTime>2</TotalTime>
  <ScaleCrop>false</ScaleCrop>
  <LinksUpToDate>false</LinksUpToDate>
  <CharactersWithSpaces>1820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2020-09-16T01:50:00Z</dcterms:created>
  <dc:creator>renj08</dc:creator>
  <cp:lastModifiedBy>雨后埰虹</cp:lastModifiedBy>
  <cp:lastPrinted>2022-11-17T12:12:00Z</cp:lastPrinted>
  <dcterms:modified xsi:type="dcterms:W3CDTF">2023-07-31T06:45:29Z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F796E2788B8846328B12B4F563E7B353</vt:lpwstr>
  </property>
</Properties>
</file>