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86" w:type="dxa"/>
        <w:jc w:val="center"/>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CellMar>
            <w:top w:w="0" w:type="dxa"/>
            <w:left w:w="0" w:type="dxa"/>
            <w:bottom w:w="0" w:type="dxa"/>
            <w:right w:w="0" w:type="dxa"/>
          </w:tblCellMar>
        </w:tblPrEx>
        <w:trPr>
          <w:cantSplit/>
          <w:trHeight w:val="90" w:hRule="atLeast"/>
          <w:jc w:val="center"/>
        </w:trPr>
        <w:tc>
          <w:tcPr>
            <w:tcW w:w="5502"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AQSCJYPX-2023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78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eastAsia="zh-CN"/>
              </w:rPr>
            </w:pPr>
            <w:r>
              <w:rPr>
                <w:rFonts w:hint="eastAsia" w:ascii="宋体" w:hAnsi="宋体" w:eastAsiaTheme="minorEastAsia"/>
                <w:szCs w:val="21"/>
                <w:lang w:eastAsia="zh-CN"/>
              </w:rPr>
              <w:t>安全生产</w:t>
            </w:r>
            <w:r>
              <w:rPr>
                <w:rFonts w:hint="eastAsia" w:ascii="宋体" w:hAnsi="宋体"/>
                <w:szCs w:val="21"/>
                <w:lang w:val="en-US" w:eastAsia="zh-CN"/>
              </w:rPr>
              <w:t>教育培训</w:t>
            </w:r>
            <w:r>
              <w:rPr>
                <w:rFonts w:hint="eastAsia" w:ascii="宋体" w:hAnsi="宋体" w:eastAsiaTheme="minorEastAsia"/>
                <w:szCs w:val="21"/>
                <w:lang w:eastAsia="zh-CN"/>
              </w:rPr>
              <w:t>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rPr>
              <w:t>A/</w:t>
            </w:r>
            <w:r>
              <w:rPr>
                <w:rFonts w:hint="eastAsia"/>
                <w:lang w:val="en-US" w:eastAsia="zh-CN"/>
              </w:rPr>
              <w:t>0</w:t>
            </w:r>
          </w:p>
        </w:tc>
      </w:tr>
      <w:tr>
        <w:tblPrEx>
          <w:tblCellMar>
            <w:top w:w="0" w:type="dxa"/>
            <w:left w:w="0" w:type="dxa"/>
            <w:bottom w:w="0" w:type="dxa"/>
            <w:right w:w="0" w:type="dxa"/>
          </w:tblCellMar>
        </w:tblPrEx>
        <w:trPr>
          <w:cantSplit/>
          <w:trHeight w:val="511"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CellMar>
            <w:top w:w="0" w:type="dxa"/>
            <w:left w:w="0" w:type="dxa"/>
            <w:bottom w:w="0" w:type="dxa"/>
            <w:right w:w="0" w:type="dxa"/>
          </w:tblCellMar>
        </w:tblPrEx>
        <w:trPr>
          <w:cantSplit/>
          <w:trHeight w:val="12753" w:hRule="atLeast"/>
          <w:jc w:val="center"/>
        </w:trPr>
        <w:tc>
          <w:tcPr>
            <w:tcW w:w="9486" w:type="dxa"/>
            <w:gridSpan w:val="8"/>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成都万科物业服务有限公司南充分公司</w:t>
            </w:r>
          </w:p>
          <w:p>
            <w:pPr>
              <w:pStyle w:val="7"/>
              <w:pBdr>
                <w:bottom w:val="none" w:color="auto" w:sz="0" w:space="0"/>
              </w:pBd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安全生产教育培训制度</w:t>
            </w: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both"/>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sdt>
      <w:sdtPr>
        <w:rPr>
          <w:rFonts w:ascii="宋体" w:hAnsi="宋体" w:eastAsia="宋体" w:cstheme="minorBidi"/>
          <w:kern w:val="2"/>
          <w:sz w:val="21"/>
          <w:szCs w:val="24"/>
          <w:lang w:val="en-US" w:eastAsia="zh-CN" w:bidi="ar-SA"/>
        </w:rPr>
        <w:id w:val="14746863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48"/>
              <w:szCs w:val="56"/>
            </w:rPr>
          </w:pPr>
          <w:r>
            <w:rPr>
              <w:rFonts w:ascii="宋体" w:hAnsi="宋体" w:eastAsia="宋体"/>
              <w:sz w:val="48"/>
              <w:szCs w:val="56"/>
            </w:rPr>
            <w:t>目录</w:t>
          </w:r>
        </w:p>
        <w:p>
          <w:pPr>
            <w:pStyle w:val="2"/>
            <w:rPr>
              <w:rFonts w:ascii="宋体" w:hAnsi="宋体" w:eastAsia="宋体"/>
              <w:sz w:val="48"/>
              <w:szCs w:val="56"/>
            </w:rPr>
          </w:pPr>
        </w:p>
        <w:p>
          <w:pPr>
            <w:rPr>
              <w:rFonts w:ascii="宋体" w:hAnsi="宋体" w:eastAsia="宋体"/>
              <w:sz w:val="48"/>
              <w:szCs w:val="56"/>
            </w:rPr>
          </w:pPr>
        </w:p>
        <w:p>
          <w:pPr>
            <w:pStyle w:val="2"/>
          </w:pPr>
        </w:p>
        <w:p>
          <w:pPr>
            <w:pStyle w:val="24"/>
            <w:tabs>
              <w:tab w:val="right" w:leader="dot" w:pos="9740"/>
            </w:tabs>
            <w:rPr>
              <w:sz w:val="36"/>
              <w:szCs w:val="36"/>
            </w:rPr>
          </w:pPr>
          <w:r>
            <w:rPr>
              <w:sz w:val="36"/>
              <w:szCs w:val="36"/>
            </w:rPr>
            <w:fldChar w:fldCharType="begin"/>
          </w:r>
          <w:r>
            <w:rPr>
              <w:sz w:val="36"/>
              <w:szCs w:val="36"/>
            </w:rPr>
            <w:instrText xml:space="preserve">TOC \o "1-3" \h \u </w:instrText>
          </w:r>
          <w:r>
            <w:rPr>
              <w:sz w:val="36"/>
              <w:szCs w:val="36"/>
            </w:rPr>
            <w:fldChar w:fldCharType="separate"/>
          </w:r>
          <w:r>
            <w:rPr>
              <w:sz w:val="36"/>
              <w:szCs w:val="36"/>
            </w:rPr>
            <w:fldChar w:fldCharType="begin"/>
          </w:r>
          <w:r>
            <w:rPr>
              <w:sz w:val="36"/>
              <w:szCs w:val="36"/>
            </w:rPr>
            <w:instrText xml:space="preserve"> HYPERLINK \l _Toc16544 </w:instrText>
          </w:r>
          <w:r>
            <w:rPr>
              <w:sz w:val="36"/>
              <w:szCs w:val="36"/>
            </w:rPr>
            <w:fldChar w:fldCharType="separate"/>
          </w:r>
          <w:r>
            <w:rPr>
              <w:rFonts w:hint="eastAsia" w:ascii="宋体" w:hAnsi="宋体" w:eastAsia="宋体" w:cs="宋体"/>
              <w:sz w:val="36"/>
              <w:szCs w:val="52"/>
              <w:lang w:val="en-US" w:eastAsia="zh-CN"/>
            </w:rPr>
            <w:t>1.目的</w:t>
          </w:r>
          <w:r>
            <w:rPr>
              <w:sz w:val="36"/>
              <w:szCs w:val="36"/>
            </w:rPr>
            <w:tab/>
          </w:r>
          <w:r>
            <w:rPr>
              <w:sz w:val="36"/>
              <w:szCs w:val="36"/>
            </w:rPr>
            <w:fldChar w:fldCharType="begin"/>
          </w:r>
          <w:r>
            <w:rPr>
              <w:sz w:val="36"/>
              <w:szCs w:val="36"/>
            </w:rPr>
            <w:instrText xml:space="preserve"> PAGEREF _Toc16544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_Toc1532 </w:instrText>
          </w:r>
          <w:r>
            <w:rPr>
              <w:sz w:val="36"/>
              <w:szCs w:val="36"/>
            </w:rPr>
            <w:fldChar w:fldCharType="separate"/>
          </w:r>
          <w:r>
            <w:rPr>
              <w:rFonts w:hint="eastAsia" w:ascii="宋体" w:hAnsi="宋体" w:eastAsia="宋体" w:cs="宋体"/>
              <w:sz w:val="36"/>
              <w:szCs w:val="52"/>
              <w:lang w:val="en-US" w:eastAsia="zh-CN"/>
            </w:rPr>
            <w:t>2.范围</w:t>
          </w:r>
          <w:r>
            <w:rPr>
              <w:sz w:val="36"/>
              <w:szCs w:val="36"/>
            </w:rPr>
            <w:tab/>
          </w:r>
          <w:r>
            <w:rPr>
              <w:sz w:val="36"/>
              <w:szCs w:val="36"/>
            </w:rPr>
            <w:fldChar w:fldCharType="begin"/>
          </w:r>
          <w:r>
            <w:rPr>
              <w:sz w:val="36"/>
              <w:szCs w:val="36"/>
            </w:rPr>
            <w:instrText xml:space="preserve"> PAGEREF _Toc1532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_Toc6145 </w:instrText>
          </w:r>
          <w:r>
            <w:rPr>
              <w:sz w:val="36"/>
              <w:szCs w:val="36"/>
            </w:rPr>
            <w:fldChar w:fldCharType="separate"/>
          </w:r>
          <w:r>
            <w:rPr>
              <w:rFonts w:hint="eastAsia" w:ascii="宋体" w:hAnsi="宋体" w:eastAsia="宋体" w:cs="宋体"/>
              <w:sz w:val="36"/>
              <w:szCs w:val="52"/>
              <w:lang w:val="en-US" w:eastAsia="zh-CN"/>
            </w:rPr>
            <w:t>3.职责</w:t>
          </w:r>
          <w:r>
            <w:rPr>
              <w:sz w:val="36"/>
              <w:szCs w:val="36"/>
            </w:rPr>
            <w:tab/>
          </w:r>
          <w:r>
            <w:rPr>
              <w:sz w:val="36"/>
              <w:szCs w:val="36"/>
            </w:rPr>
            <w:fldChar w:fldCharType="begin"/>
          </w:r>
          <w:r>
            <w:rPr>
              <w:sz w:val="36"/>
              <w:szCs w:val="36"/>
            </w:rPr>
            <w:instrText xml:space="preserve"> PAGEREF _Toc6145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_Toc7122 </w:instrText>
          </w:r>
          <w:r>
            <w:rPr>
              <w:sz w:val="36"/>
              <w:szCs w:val="36"/>
            </w:rPr>
            <w:fldChar w:fldCharType="separate"/>
          </w:r>
          <w:r>
            <w:rPr>
              <w:rFonts w:hint="eastAsia" w:ascii="宋体" w:hAnsi="宋体" w:eastAsia="宋体" w:cs="宋体"/>
              <w:sz w:val="36"/>
              <w:szCs w:val="52"/>
              <w:lang w:val="en-US" w:eastAsia="zh-CN"/>
            </w:rPr>
            <w:t>4.方法与过程管控</w:t>
          </w:r>
          <w:r>
            <w:rPr>
              <w:sz w:val="36"/>
              <w:szCs w:val="36"/>
            </w:rPr>
            <w:tab/>
          </w:r>
          <w:r>
            <w:rPr>
              <w:sz w:val="36"/>
              <w:szCs w:val="36"/>
            </w:rPr>
            <w:fldChar w:fldCharType="begin"/>
          </w:r>
          <w:r>
            <w:rPr>
              <w:sz w:val="36"/>
              <w:szCs w:val="36"/>
            </w:rPr>
            <w:instrText xml:space="preserve"> PAGEREF _Toc7122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_Toc556 </w:instrText>
          </w:r>
          <w:r>
            <w:rPr>
              <w:sz w:val="36"/>
              <w:szCs w:val="36"/>
            </w:rPr>
            <w:fldChar w:fldCharType="separate"/>
          </w:r>
          <w:r>
            <w:rPr>
              <w:rFonts w:hint="eastAsia" w:ascii="宋体" w:hAnsi="宋体" w:eastAsia="宋体" w:cs="宋体"/>
              <w:sz w:val="36"/>
              <w:szCs w:val="52"/>
              <w:lang w:val="en-US" w:eastAsia="zh-CN"/>
            </w:rPr>
            <w:t>5.任务清单</w:t>
          </w:r>
          <w:r>
            <w:rPr>
              <w:sz w:val="36"/>
              <w:szCs w:val="36"/>
            </w:rPr>
            <w:tab/>
          </w:r>
          <w:r>
            <w:rPr>
              <w:sz w:val="36"/>
              <w:szCs w:val="36"/>
            </w:rPr>
            <w:fldChar w:fldCharType="begin"/>
          </w:r>
          <w:r>
            <w:rPr>
              <w:sz w:val="36"/>
              <w:szCs w:val="36"/>
            </w:rPr>
            <w:instrText xml:space="preserve"> PAGEREF _Toc556 \h </w:instrText>
          </w:r>
          <w:r>
            <w:rPr>
              <w:sz w:val="36"/>
              <w:szCs w:val="36"/>
            </w:rPr>
            <w:fldChar w:fldCharType="separate"/>
          </w:r>
          <w:r>
            <w:rPr>
              <w:sz w:val="36"/>
              <w:szCs w:val="36"/>
            </w:rPr>
            <w:t>6</w:t>
          </w:r>
          <w:r>
            <w:rPr>
              <w:sz w:val="36"/>
              <w:szCs w:val="36"/>
            </w:rPr>
            <w:fldChar w:fldCharType="end"/>
          </w:r>
          <w:r>
            <w:rPr>
              <w:sz w:val="36"/>
              <w:szCs w:val="36"/>
            </w:rPr>
            <w:fldChar w:fldCharType="end"/>
          </w:r>
        </w:p>
        <w:p>
          <w:r>
            <w:rPr>
              <w:sz w:val="36"/>
              <w:szCs w:val="36"/>
            </w:rPr>
            <w:fldChar w:fldCharType="end"/>
          </w:r>
        </w:p>
      </w:sdtContent>
    </w:sdt>
    <w:p>
      <w:pP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br w:type="page"/>
      </w:r>
    </w:p>
    <w:p>
      <w:pPr>
        <w:bidi w:val="0"/>
        <w:jc w:val="left"/>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default" w:ascii="宋体" w:hAnsi="宋体" w:eastAsia="宋体" w:cs="宋体"/>
          <w:b/>
          <w:sz w:val="30"/>
          <w:szCs w:val="30"/>
          <w:lang w:val="en-US" w:eastAsia="zh-CN"/>
        </w:rPr>
      </w:pPr>
      <w:bookmarkStart w:id="0" w:name="_Toc16544"/>
      <w:r>
        <w:rPr>
          <w:rFonts w:hint="eastAsia" w:ascii="宋体" w:hAnsi="宋体" w:eastAsia="宋体" w:cs="宋体"/>
          <w:b/>
          <w:sz w:val="30"/>
          <w:szCs w:val="30"/>
          <w:lang w:val="en-US" w:eastAsia="zh-CN"/>
        </w:rPr>
        <w:t>1.目的</w:t>
      </w:r>
      <w:bookmarkEnd w:id="0"/>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生产教育培训作为安全生产管理的重要组成部分，是公司实现安全生产、预防事故发生的一项重要措施。安全生产教育培训是提高员工安全技术水平和风险防控能力的有力手段，使每一名员工都能自觉主动地遵守各项安全生产规章制度，强化处理潜在事故风险和化危险为安全的能力，以达到预防事故发生的目的。鉴于此，依据《中华人民共和国安全生产法》《生产经营单位安全培训规定》(安监总局令第 3号)和有关法律法规要求，结合</w:t>
      </w:r>
      <w:r>
        <w:rPr>
          <w:rFonts w:hint="eastAsia" w:ascii="宋体" w:hAnsi="宋体" w:eastAsia="宋体" w:cs="宋体"/>
          <w:sz w:val="24"/>
          <w:szCs w:val="24"/>
          <w:lang w:val="en-US" w:eastAsia="zh-CN"/>
        </w:rPr>
        <w:t>分</w:t>
      </w:r>
      <w:r>
        <w:rPr>
          <w:rFonts w:hint="eastAsia" w:ascii="宋体" w:hAnsi="宋体" w:eastAsia="宋体" w:cs="宋体"/>
          <w:sz w:val="24"/>
          <w:szCs w:val="24"/>
        </w:rPr>
        <w:t>公司安全生产实际，制定本文件。</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1" w:name="_Toc1532"/>
      <w:r>
        <w:rPr>
          <w:rFonts w:hint="eastAsia" w:ascii="宋体" w:hAnsi="宋体" w:eastAsia="宋体" w:cs="宋体"/>
          <w:b/>
          <w:sz w:val="30"/>
          <w:szCs w:val="30"/>
          <w:lang w:val="en-US" w:eastAsia="zh-CN"/>
        </w:rPr>
        <w:t>2.范围</w:t>
      </w:r>
      <w:bookmarkEnd w:id="1"/>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0"/>
        <w:rPr>
          <w:rFonts w:hint="default" w:ascii="宋体" w:hAnsi="宋体" w:eastAsia="宋体" w:cs="宋体"/>
          <w:sz w:val="24"/>
          <w:szCs w:val="24"/>
          <w:lang w:val="en-US" w:eastAsia="zh-CN"/>
        </w:rPr>
      </w:pPr>
      <w:bookmarkStart w:id="2" w:name="_Toc6145"/>
      <w:r>
        <w:rPr>
          <w:rFonts w:hint="default" w:ascii="宋体" w:hAnsi="宋体" w:eastAsia="宋体" w:cs="宋体"/>
          <w:sz w:val="24"/>
          <w:szCs w:val="24"/>
          <w:lang w:val="en-US" w:eastAsia="zh-CN"/>
        </w:rPr>
        <w:t>本文件适用于</w:t>
      </w:r>
      <w:r>
        <w:rPr>
          <w:rFonts w:hint="eastAsia" w:ascii="宋体" w:hAnsi="宋体" w:eastAsia="宋体" w:cs="宋体"/>
          <w:sz w:val="24"/>
          <w:szCs w:val="24"/>
          <w:lang w:val="en-US" w:eastAsia="zh-CN"/>
        </w:rPr>
        <w:t>成都万科物业服务有限公司南充分公司</w:t>
      </w:r>
      <w:r>
        <w:rPr>
          <w:rFonts w:hint="default" w:ascii="宋体" w:hAnsi="宋体" w:eastAsia="宋体" w:cs="宋体"/>
          <w:sz w:val="24"/>
          <w:szCs w:val="24"/>
          <w:lang w:val="en-US" w:eastAsia="zh-CN"/>
        </w:rPr>
        <w:t>全体。</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3.职责</w:t>
      </w:r>
      <w:bookmarkEnd w:id="2"/>
    </w:p>
    <w:tbl>
      <w:tblPr>
        <w:tblStyle w:val="14"/>
        <w:tblW w:w="0" w:type="auto"/>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部门/岗位</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安全生产管理专员</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1、协助实施分公司级三级安全生产教育培训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2、组织实施分公司本部在职人员安全生产培训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3、确保公司特种作业人员按要求培训持证上岗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按要求管理安全生产相关培训档案。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人力资源部门</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组织实施分公司级三级安全生产教育培训。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兼职安全生产管理人员</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组织实施项目级安全生产教育培训;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2、组织实施本项目在职人员安全生产培训;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3、确保项目特种作业人员按要求培训持证上岗: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按要求管理安全生产相关培训档案。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分公司业务条线专家</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组织召开项目安全生产会议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bookmarkStart w:id="3" w:name="_Toc7122"/>
            <w:r>
              <w:rPr>
                <w:rFonts w:hint="eastAsia" w:ascii="宋体" w:hAnsi="宋体" w:eastAsia="宋体" w:cs="宋体"/>
                <w:sz w:val="24"/>
                <w:szCs w:val="24"/>
                <w:lang w:val="en-US" w:eastAsia="zh-CN"/>
              </w:rPr>
              <w:t>项目系统负责人</w:t>
            </w:r>
          </w:p>
        </w:tc>
        <w:tc>
          <w:tcPr>
            <w:tcW w:w="63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组织实施系统级安全生产教育培训。</w:t>
            </w:r>
          </w:p>
        </w:tc>
      </w:tr>
    </w:tbl>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4.方法与过程管控</w:t>
      </w:r>
      <w:bookmarkEnd w:id="3"/>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rPr>
      </w:pPr>
      <w:r>
        <w:rPr>
          <w:rFonts w:hint="eastAsia" w:ascii="宋体" w:hAnsi="宋体"/>
          <w:sz w:val="24"/>
        </w:rPr>
        <w:t>4.1 新入职、变换岗位/工种、复工员工的“三级”安全生产教育培训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lang w:val="en-US" w:eastAsia="zh-CN"/>
        </w:rPr>
      </w:pPr>
      <w:r>
        <w:rPr>
          <w:rFonts w:hint="eastAsia" w:ascii="宋体" w:hAnsi="宋体"/>
          <w:sz w:val="24"/>
        </w:rPr>
        <w:t>4.1</w:t>
      </w:r>
      <w:r>
        <w:rPr>
          <w:rFonts w:hint="eastAsia" w:ascii="宋体" w:hAnsi="宋体"/>
          <w:sz w:val="24"/>
          <w:lang w:val="en-US" w:eastAsia="zh-CN"/>
        </w:rPr>
        <w:t>.</w:t>
      </w:r>
      <w:r>
        <w:rPr>
          <w:rFonts w:hint="eastAsia" w:ascii="宋体" w:hAnsi="宋体"/>
          <w:sz w:val="24"/>
        </w:rPr>
        <w:t>1</w:t>
      </w:r>
      <w:r>
        <w:rPr>
          <w:rFonts w:hint="eastAsia" w:ascii="宋体" w:hAnsi="宋体"/>
          <w:sz w:val="24"/>
          <w:lang w:val="en-US" w:eastAsia="zh-CN"/>
        </w:rPr>
        <w:t xml:space="preserve"> 培训对象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(1)新入职员工，指新入职公司工作的员工，亦包括被派遣劳动者、学校实习学生</w:t>
      </w:r>
      <w:r>
        <w:rPr>
          <w:rFonts w:hint="eastAsia" w:ascii="宋体" w:hAnsi="宋体"/>
          <w:sz w:val="24"/>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default" w:ascii="宋体" w:hAnsi="宋体"/>
          <w:sz w:val="24"/>
          <w:lang w:val="en-US" w:eastAsia="zh-CN"/>
        </w:rPr>
        <w:t>(2)变换岗位/工种员工，指调整工作岗位的员工，包括永久变动和临时承担有关工作，主要形式有调离、调入、转岗、替岗等</w:t>
      </w:r>
      <w:r>
        <w:rPr>
          <w:rFonts w:hint="eastAsia" w:ascii="宋体" w:hAnsi="宋体"/>
          <w:sz w:val="24"/>
          <w:lang w:val="en-US" w:eastAsia="zh-CN"/>
        </w:rPr>
        <w:t>；</w:t>
      </w:r>
    </w:p>
    <w:p>
      <w:pPr>
        <w:pStyle w:val="2"/>
        <w:rPr>
          <w:rFonts w:hint="eastAsia" w:ascii="宋体" w:hAnsi="宋体" w:eastAsiaTheme="minorEastAsia" w:cstheme="minorBidi"/>
          <w:kern w:val="2"/>
          <w:sz w:val="24"/>
          <w:szCs w:val="24"/>
          <w:lang w:val="en-US" w:eastAsia="zh-CN" w:bidi="ar-SA"/>
        </w:rPr>
      </w:pPr>
    </w:p>
    <w:p>
      <w:pPr>
        <w:ind w:firstLine="720" w:firstLineChars="300"/>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 复工员工，离岗一年以上重新上岗的员工，包括工伤伤愈恢复岗位工作的员工</w:t>
      </w:r>
      <w:r>
        <w:rPr>
          <w:rFonts w:hint="eastAsia" w:ascii="宋体" w:hAnsi="宋体" w:cstheme="minorBidi"/>
          <w:kern w:val="2"/>
          <w:sz w:val="24"/>
          <w:szCs w:val="24"/>
          <w:lang w:val="en-US" w:eastAsia="zh-CN" w:bidi="ar-SA"/>
        </w:rPr>
        <w:t>等；</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default" w:ascii="宋体" w:hAnsi="宋体"/>
          <w:sz w:val="24"/>
          <w:lang w:val="en-US" w:eastAsia="zh-CN"/>
        </w:rPr>
      </w:pPr>
      <w:r>
        <w:rPr>
          <w:rFonts w:hint="eastAsia" w:ascii="宋体" w:hAnsi="宋体"/>
          <w:sz w:val="24"/>
        </w:rPr>
        <w:t>4.1</w:t>
      </w:r>
      <w:r>
        <w:rPr>
          <w:rFonts w:hint="eastAsia" w:ascii="宋体" w:hAnsi="宋体"/>
          <w:sz w:val="24"/>
          <w:lang w:val="en-US" w:eastAsia="zh-CN"/>
        </w:rPr>
        <w:t>.2 工作要求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(1)项目物业服务中心新入职员工必须进行“三级”(即公司级、项目级、岗位/组级)安全生产教育培训，变换岗位/工种、复工员工必须进行“二级”(即项目级、岗位/组级)安全生产教育培训，未经安全教育培训合格的人员，不得上岗作业；</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(2)分公司本部新入职员工只须进行公司级安全生产教育培训；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(3)新入职员工安全生产教育培训时间不得少于 24 学时，变换岗位/工种、复工员工安全生产教育培训时间不得少于 4学时；</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(4)新入职员工、变换岗位/工种员工、复工员工培训覆盖率率必须达到 100%；</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(5)公司级、项目级安全生产教育培训均应有培训教材和试卷，项目级、岗位/组级安全教育应有相应的教育培训记录(培训照片、签到等)。公司级、项目级教育培训结束后应组织考试，岗位/组级教育培训结束后应组织实际操作考核。试卷设百分制，成绩 100 分为合格，对于考试不合格员工，应重新组织培训和考试直至合格为止。公司、分公司本部员工试卷由安全生产管理专员长期存档保存，项目员工试卷由项目兼职安全生产管理人员长期存档保存；</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(6)新入职员工经过三级安全教育后，上岗操作时，应由有经验的员工(师傅)带领工作，待新员工掌握了安全操作基本知识，具备独立工作能力后，方准独立操作；</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lang w:val="en-US" w:eastAsia="zh-CN"/>
        </w:rPr>
      </w:pPr>
      <w:r>
        <w:rPr>
          <w:rFonts w:hint="default" w:ascii="宋体" w:hAnsi="宋体"/>
          <w:sz w:val="24"/>
          <w:lang w:val="en-US" w:eastAsia="zh-CN"/>
        </w:rPr>
        <w:t>4.1</w:t>
      </w:r>
      <w:r>
        <w:rPr>
          <w:rFonts w:hint="eastAsia" w:ascii="宋体" w:hAnsi="宋体"/>
          <w:sz w:val="24"/>
          <w:lang w:val="en-US" w:eastAsia="zh-CN"/>
        </w:rPr>
        <w:t>.</w:t>
      </w:r>
      <w:r>
        <w:rPr>
          <w:rFonts w:hint="default" w:ascii="宋体" w:hAnsi="宋体"/>
          <w:sz w:val="24"/>
          <w:lang w:val="en-US" w:eastAsia="zh-CN"/>
        </w:rPr>
        <w:t>3</w:t>
      </w:r>
      <w:r>
        <w:rPr>
          <w:rFonts w:hint="eastAsia" w:ascii="宋体" w:hAnsi="宋体"/>
          <w:sz w:val="24"/>
          <w:lang w:val="en-US" w:eastAsia="zh-CN"/>
        </w:rPr>
        <w:t xml:space="preserve">实施方法 </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(1) 公司级安全教育培训由人力资源部门组织实施，安全生产管理专员予以协助公司级安全生产教育培训的具体内容包括但不限于: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A.国家、地方、行业法律法规和标准要求: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B.公司安全生产特点、现状及主要任务;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C.公司安全生产相关管理制度:</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D.员工安全生产的权利和义务: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E.安全生产、消防基础知识: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F.应急管理、救援、疏散基本常识;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G.典型事故案例分析。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(2)项目级安全生产教育培训由驻场经理、项目兼职安全生产管理人员负责实施项目级安全生产教育培训内容包括但不限于: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A.本项目的工作环境及危险因素:</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B.本项目安全生产状况及规章制度:</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C.所从事岗位可能遭受的职业伤害和伤亡事故:</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D.所从事岗位的安全生产职责、操作规程及强制性标准: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E.自救互救、急救方法、疏散和现场突发事件应急处置流程;</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F.安全设备设施、个人防护用品的使用和维护:</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G.预防事故的措施及应注意的安全事项: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H.常见事故案例分析: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I.其他需要培训的内容。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(3)岗位/组级安全生产教育培训由系统负责人负责实施。系统级安全生产教育培训内容包括但不限于: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A.所从事岗位的安全操作规程:</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B，所从事岗位与其他岗位之间工作衔接配合的安全生产注意事项: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C.所从事岗位作业过程危险性分析: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D.所从事岗位作业所需工具和个人防护用品的正确使用和维护保养方法:</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E.常见事故案例分析;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F.其他需要培训的内容。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4.2在职员工的安全生产教育培训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4.2.1“四新”产训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在采用新工艺、新技术、新材料、新设备时，分公司各业务条线专家须组织相关人员进行新操作方法及安全操作规程的技术培训，在操作者达到应知应会后，方可进行操作，培训覆盖率必须达到 100%。</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4.2.2年度安全生产教育培训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(1)公司全体在职员工每年必须进行安全生产培训教育:</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(2)每人每年培训时间不得少于 12 学时:</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(3)每年 12 月 31日前，安全生产管理专员下年度安全生产培训计划:</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(4) 培内容应包括但不限于:</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A.国家安全生产方针、政策和有关安全生产的法律、法规、规章及标准: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B，安全生产管理基本知识、安全生产技术、安全生产专业知识: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C.重大事故防范措施:</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D.应急管理和救援组织、应急预案编制以及应急处置的内容和要求: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E，典型事故和应急救援案例分析:</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F.伤亡事故统计、报告及调查处理方法及有关规定:</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G.国内外先进的安全生产管理经验:</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eastAsia" w:ascii="宋体" w:hAnsi="宋体"/>
          <w:sz w:val="24"/>
          <w:lang w:val="en-US" w:eastAsia="zh-CN"/>
        </w:rPr>
      </w:pPr>
      <w:r>
        <w:rPr>
          <w:rFonts w:hint="eastAsia" w:ascii="宋体" w:hAnsi="宋体"/>
          <w:sz w:val="24"/>
          <w:lang w:val="en-US" w:eastAsia="zh-CN"/>
        </w:rPr>
        <w:t>H.其他需要培训的内容。</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4.3特种作业人员安全生产教育培训</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(1)专、兼职安全生产管理人员应建立公司、项目特种作业人员管理台账，并负责按规定时间提示特种作业人员参加相关部门的培训或复审:</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720" w:firstLineChars="300"/>
        <w:textAlignment w:val="auto"/>
        <w:rPr>
          <w:rFonts w:hint="default" w:ascii="宋体" w:hAnsi="宋体"/>
          <w:sz w:val="24"/>
          <w:lang w:val="en-US" w:eastAsia="zh-CN"/>
        </w:rPr>
      </w:pPr>
      <w:r>
        <w:rPr>
          <w:rFonts w:hint="default" w:ascii="宋体" w:hAnsi="宋体"/>
          <w:sz w:val="24"/>
          <w:lang w:val="en-US" w:eastAsia="zh-CN"/>
        </w:rPr>
        <w:t>(2) 未经过专业安全技术知识教育和安全操作技术培训，并经考试合格取得特种作业操作证的人员，不得上岗从事特种作业，特种作业人员持证上岗率必须达到100%</w:t>
      </w:r>
      <w:r>
        <w:rPr>
          <w:rFonts w:hint="eastAsia" w:ascii="宋体" w:hAnsi="宋体"/>
          <w:sz w:val="24"/>
          <w:lang w:val="en-US" w:eastAsia="zh-CN"/>
        </w:rPr>
        <w:t>。</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4" w:name="_Toc556"/>
      <w:r>
        <w:rPr>
          <w:rFonts w:hint="eastAsia" w:ascii="宋体" w:hAnsi="宋体" w:eastAsia="宋体" w:cs="宋体"/>
          <w:b/>
          <w:sz w:val="30"/>
          <w:szCs w:val="30"/>
          <w:lang w:val="en-US" w:eastAsia="zh-CN"/>
        </w:rPr>
        <w:t>5.任务清单</w:t>
      </w:r>
      <w:bookmarkEnd w:id="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018"/>
        <w:gridCol w:w="341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序号</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任务</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责任组织/岗位</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分公司级安全生产教育培训</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人力资源部门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安全生产管理专员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项目级安全生产教育培训</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兼职安全生产管理人员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岗位/组级安全生产教育培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训</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项目系统负责人</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年度安全生产培训计划</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安全生产管理专员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在职人员安全生产培训</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专、兼职安全生产</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按计划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“四新”安全生产教育培训</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分公司各业务条线专家</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特种作业人员培训持证上岗</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专、兼职安全生产</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1次/月</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bookmarkStart w:id="5" w:name="_GoBack"/>
      <w:bookmarkEnd w:id="5"/>
    </w:p>
    <w:sectPr>
      <w:footerReference r:id="rId5" w:type="default"/>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教育培训</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6</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4A640F4"/>
    <w:rsid w:val="35377ED2"/>
    <w:rsid w:val="374F76FB"/>
    <w:rsid w:val="3F6D0A65"/>
    <w:rsid w:val="3FBA776C"/>
    <w:rsid w:val="414A7C46"/>
    <w:rsid w:val="42522137"/>
    <w:rsid w:val="42892A33"/>
    <w:rsid w:val="429955FF"/>
    <w:rsid w:val="432F3B2D"/>
    <w:rsid w:val="43CC3AB9"/>
    <w:rsid w:val="44160433"/>
    <w:rsid w:val="44BB575E"/>
    <w:rsid w:val="47533CBC"/>
    <w:rsid w:val="48087BAB"/>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68579AF"/>
    <w:rsid w:val="6BE7740C"/>
    <w:rsid w:val="6C0F0CED"/>
    <w:rsid w:val="6C2E204E"/>
    <w:rsid w:val="6CE71124"/>
    <w:rsid w:val="6CF438D5"/>
    <w:rsid w:val="6D25144D"/>
    <w:rsid w:val="6E5864B7"/>
    <w:rsid w:val="6F867812"/>
    <w:rsid w:val="70620E64"/>
    <w:rsid w:val="706F589F"/>
    <w:rsid w:val="710B44B6"/>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1534</Words>
  <Characters>1653</Characters>
  <Lines>0</Lines>
  <Paragraphs>0</Paragraphs>
  <TotalTime>4</TotalTime>
  <ScaleCrop>false</ScaleCrop>
  <LinksUpToDate>false</LinksUpToDate>
  <CharactersWithSpaces>1718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2023-07-28T06:26:32Z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