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486" w:type="dxa"/>
        <w:jc w:val="center"/>
        <w:tblLayout w:type="autofit"/>
        <w:tblCellMar>
          <w:top w:w="0" w:type="dxa"/>
          <w:left w:w="0" w:type="dxa"/>
          <w:bottom w:w="0" w:type="dxa"/>
          <w:right w:w="0" w:type="dxa"/>
        </w:tblCellMar>
      </w:tblPr>
      <w:tblGrid>
        <w:gridCol w:w="722"/>
        <w:gridCol w:w="953"/>
        <w:gridCol w:w="1169"/>
        <w:gridCol w:w="1011"/>
        <w:gridCol w:w="702"/>
        <w:gridCol w:w="945"/>
        <w:gridCol w:w="971"/>
        <w:gridCol w:w="946"/>
        <w:gridCol w:w="2067"/>
      </w:tblGrid>
      <w:tr>
        <w:trPr>
          <w:cantSplit/>
          <w:trHeight w:val="90" w:hRule="atLeast"/>
          <w:jc w:val="center"/>
        </w:trPr>
        <w:tc>
          <w:tcPr>
            <w:tcW w:w="5502"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01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780"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eastAsia="zh-CN"/>
              </w:rPr>
            </w:pPr>
            <w:r>
              <w:rPr>
                <w:rFonts w:hint="eastAsia" w:ascii="宋体" w:hAnsi="宋体" w:eastAsiaTheme="minorEastAsia"/>
                <w:szCs w:val="21"/>
                <w:lang w:eastAsia="zh-CN"/>
              </w:rPr>
              <w:t>安全生产管理责任清单</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rFonts w:hint="eastAsia" w:eastAsiaTheme="minorEastAsia"/>
                <w:lang w:val="en-US" w:eastAsia="zh-CN"/>
              </w:rPr>
            </w:pPr>
            <w:r>
              <w:rPr>
                <w:rFonts w:hint="eastAsia"/>
              </w:rPr>
              <w:t>A/</w:t>
            </w:r>
            <w:r>
              <w:rPr>
                <w:rFonts w:hint="eastAsia"/>
                <w:lang w:val="en-US" w:eastAsia="zh-CN"/>
              </w:rPr>
              <w:t>0</w:t>
            </w:r>
          </w:p>
        </w:tc>
        <w:tc>
          <w:tcPr>
            <w:tcW w:w="20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Bdr>
                                      <w:bottom w:val="none" w:color="auto" w:sz="0" w:space="0"/>
                                    </w:pBdr>
                                    <w:jc w:val="cente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195</w:t>
                                  </w:r>
                                  <w:r>
                                    <w:rPr>
                                      <w:rFonts w:hint="eastAsia"/>
                                      <w:b/>
                                      <w:bCs/>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7"/>
                              <w:pBdr>
                                <w:bottom w:val="none" w:color="auto" w:sz="0" w:space="0"/>
                              </w:pBdr>
                              <w:jc w:val="cente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195</w:t>
                            </w:r>
                            <w:r>
                              <w:rPr>
                                <w:rFonts w:hint="eastAsia"/>
                                <w:b/>
                                <w:bCs/>
                              </w:rPr>
                              <w:t>页</w:t>
                            </w:r>
                          </w:p>
                        </w:txbxContent>
                      </v:textbox>
                    </v:shape>
                  </w:pict>
                </mc:Fallback>
              </mc:AlternateContent>
            </w:r>
          </w:p>
        </w:tc>
      </w:tr>
      <w:tr>
        <w:tblPrEx>
          <w:tblCellMar>
            <w:top w:w="0" w:type="dxa"/>
            <w:left w:w="0" w:type="dxa"/>
            <w:bottom w:w="0" w:type="dxa"/>
            <w:right w:w="0" w:type="dxa"/>
          </w:tblCellMar>
        </w:tblPrEx>
        <w:trPr>
          <w:cantSplit/>
          <w:trHeight w:val="511" w:hRule="atLeast"/>
          <w:jc w:val="center"/>
        </w:trPr>
        <w:tc>
          <w:tcPr>
            <w:tcW w:w="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rFonts w:hint="eastAsia" w:eastAsiaTheme="minorEastAsia"/>
                <w:lang w:val="en-US" w:eastAsia="zh-CN"/>
              </w:rPr>
            </w:pPr>
            <w:r>
              <w:rPr>
                <w:rFonts w:hint="eastAsia"/>
                <w:lang w:val="en-US" w:eastAsia="zh-CN"/>
              </w:rPr>
              <w:t>谌永忠</w:t>
            </w:r>
          </w:p>
        </w:tc>
        <w:tc>
          <w:tcPr>
            <w:tcW w:w="7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01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r>
        <w:tblPrEx>
          <w:tblCellMar>
            <w:top w:w="0" w:type="dxa"/>
            <w:left w:w="0" w:type="dxa"/>
            <w:bottom w:w="0" w:type="dxa"/>
            <w:right w:w="0" w:type="dxa"/>
          </w:tblCellMar>
        </w:tblPrEx>
        <w:trPr>
          <w:cantSplit/>
          <w:trHeight w:val="12753" w:hRule="atLeast"/>
          <w:jc w:val="center"/>
        </w:trPr>
        <w:tc>
          <w:tcPr>
            <w:tcW w:w="9486" w:type="dxa"/>
            <w:gridSpan w:val="9"/>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成都万科物业服务有限公司南充分公司</w:t>
            </w:r>
          </w:p>
          <w:p>
            <w:pPr>
              <w:pStyle w:val="7"/>
              <w:pBdr>
                <w:bottom w:val="none" w:color="auto" w:sz="0" w:space="0"/>
              </w:pBd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安全生产会议制度</w:t>
            </w:r>
            <w:bookmarkStart w:id="5" w:name="_GoBack"/>
            <w:bookmarkEnd w:id="5"/>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7"/>
              <w:pBdr>
                <w:bottom w:val="none" w:color="auto" w:sz="0" w:space="0"/>
              </w:pBd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w:t>
            </w:r>
            <w:r>
              <w:rPr>
                <w:rFonts w:hint="eastAsia" w:ascii="黑体" w:hAnsi="黑体" w:eastAsia="黑体" w:cs="黑体"/>
                <w:sz w:val="30"/>
                <w:szCs w:val="30"/>
                <w:u w:val="single"/>
                <w:lang w:val="en-US" w:eastAsia="zh-CN"/>
              </w:rPr>
              <w:t xml:space="preserve">2023-6-30  </w:t>
            </w:r>
          </w:p>
          <w:p>
            <w:pPr>
              <w:pStyle w:val="7"/>
              <w:pBdr>
                <w:bottom w:val="none" w:color="auto" w:sz="0" w:space="0"/>
              </w:pBdr>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w:t>
            </w:r>
            <w:r>
              <w:rPr>
                <w:rFonts w:hint="eastAsia" w:ascii="黑体" w:hAnsi="黑体" w:eastAsia="黑体" w:cs="黑体"/>
                <w:sz w:val="30"/>
                <w:szCs w:val="30"/>
                <w:u w:val="single"/>
                <w:lang w:val="en-US" w:eastAsia="zh-CN"/>
              </w:rPr>
              <w:t xml:space="preserve">2023-6-30  </w:t>
            </w: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both"/>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生效日期：2023年6月30日</w:t>
            </w:r>
          </w:p>
        </w:tc>
      </w:tr>
    </w:tbl>
    <w:p>
      <w:pPr>
        <w:rPr>
          <w:rFonts w:hint="eastAsia"/>
          <w:lang w:val="en-US" w:eastAsia="zh-CN"/>
        </w:rPr>
        <w:sectPr>
          <w:headerReference r:id="rId4" w:type="first"/>
          <w:footerReference r:id="rId6" w:type="first"/>
          <w:headerReference r:id="rId3" w:type="default"/>
          <w:footerReference r:id="rId5" w:type="default"/>
          <w:pgSz w:w="11906" w:h="16838"/>
          <w:pgMar w:top="1440" w:right="1083" w:bottom="1440" w:left="1083" w:header="851" w:footer="992" w:gutter="0"/>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sdt>
      <w:sdtPr>
        <w:rPr>
          <w:rFonts w:ascii="宋体" w:hAnsi="宋体" w:eastAsia="宋体" w:cstheme="minorBidi"/>
          <w:kern w:val="2"/>
          <w:sz w:val="21"/>
          <w:szCs w:val="24"/>
          <w:lang w:val="en-US" w:eastAsia="zh-CN" w:bidi="ar-SA"/>
        </w:rPr>
        <w:id w:val="147468634"/>
        <w15:color w:val="DBDBDB"/>
        <w:docPartObj>
          <w:docPartGallery w:val="Table of Contents"/>
          <w:docPartUnique/>
        </w:docPartObj>
      </w:sdtPr>
      <w:sdtContent>
        <w:p>
          <w:pP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sz w:val="48"/>
              <w:szCs w:val="56"/>
            </w:rPr>
          </w:pPr>
          <w:r>
            <w:rPr>
              <w:rFonts w:ascii="宋体" w:hAnsi="宋体" w:eastAsia="宋体"/>
              <w:sz w:val="48"/>
              <w:szCs w:val="56"/>
            </w:rPr>
            <w:t>目录</w:t>
          </w:r>
        </w:p>
        <w:p>
          <w:pPr>
            <w:pStyle w:val="2"/>
            <w:rPr>
              <w:rFonts w:ascii="宋体" w:hAnsi="宋体" w:eastAsia="宋体"/>
              <w:sz w:val="48"/>
              <w:szCs w:val="56"/>
            </w:rPr>
          </w:pPr>
        </w:p>
        <w:p>
          <w:pPr>
            <w:rPr>
              <w:rFonts w:ascii="宋体" w:hAnsi="宋体" w:eastAsia="宋体"/>
              <w:sz w:val="48"/>
              <w:szCs w:val="56"/>
            </w:rPr>
          </w:pPr>
        </w:p>
        <w:p>
          <w:pPr>
            <w:pStyle w:val="2"/>
          </w:pPr>
        </w:p>
        <w:p>
          <w:pPr>
            <w:pStyle w:val="24"/>
            <w:tabs>
              <w:tab w:val="right" w:leader="dot" w:pos="9740"/>
            </w:tabs>
            <w:rPr>
              <w:sz w:val="36"/>
              <w:szCs w:val="36"/>
            </w:rPr>
          </w:pPr>
          <w:r>
            <w:rPr>
              <w:sz w:val="36"/>
              <w:szCs w:val="36"/>
            </w:rPr>
            <w:fldChar w:fldCharType="begin"/>
          </w:r>
          <w:r>
            <w:rPr>
              <w:sz w:val="36"/>
              <w:szCs w:val="36"/>
            </w:rPr>
            <w:instrText xml:space="preserve">TOC \o "1-3" \h \u </w:instrText>
          </w:r>
          <w:r>
            <w:rPr>
              <w:sz w:val="36"/>
              <w:szCs w:val="36"/>
            </w:rPr>
            <w:fldChar w:fldCharType="separate"/>
          </w:r>
          <w:r>
            <w:rPr>
              <w:sz w:val="36"/>
              <w:szCs w:val="36"/>
            </w:rPr>
            <w:fldChar w:fldCharType="begin"/>
          </w:r>
          <w:r>
            <w:rPr>
              <w:sz w:val="36"/>
              <w:szCs w:val="36"/>
            </w:rPr>
            <w:instrText xml:space="preserve"> HYPERLINK \l _Toc16544 </w:instrText>
          </w:r>
          <w:r>
            <w:rPr>
              <w:sz w:val="36"/>
              <w:szCs w:val="36"/>
            </w:rPr>
            <w:fldChar w:fldCharType="separate"/>
          </w:r>
          <w:r>
            <w:rPr>
              <w:rFonts w:hint="eastAsia" w:ascii="宋体" w:hAnsi="宋体" w:eastAsia="宋体" w:cs="宋体"/>
              <w:sz w:val="36"/>
              <w:szCs w:val="52"/>
              <w:lang w:val="en-US" w:eastAsia="zh-CN"/>
            </w:rPr>
            <w:t>1.目的</w:t>
          </w:r>
          <w:r>
            <w:rPr>
              <w:sz w:val="36"/>
              <w:szCs w:val="36"/>
            </w:rPr>
            <w:tab/>
          </w:r>
          <w:r>
            <w:rPr>
              <w:sz w:val="36"/>
              <w:szCs w:val="36"/>
            </w:rPr>
            <w:fldChar w:fldCharType="begin"/>
          </w:r>
          <w:r>
            <w:rPr>
              <w:sz w:val="36"/>
              <w:szCs w:val="36"/>
            </w:rPr>
            <w:instrText xml:space="preserve"> PAGEREF _Toc16544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_Toc1532 </w:instrText>
          </w:r>
          <w:r>
            <w:rPr>
              <w:sz w:val="36"/>
              <w:szCs w:val="36"/>
            </w:rPr>
            <w:fldChar w:fldCharType="separate"/>
          </w:r>
          <w:r>
            <w:rPr>
              <w:rFonts w:hint="eastAsia" w:ascii="宋体" w:hAnsi="宋体" w:eastAsia="宋体" w:cs="宋体"/>
              <w:sz w:val="36"/>
              <w:szCs w:val="52"/>
              <w:lang w:val="en-US" w:eastAsia="zh-CN"/>
            </w:rPr>
            <w:t>2.范围</w:t>
          </w:r>
          <w:r>
            <w:rPr>
              <w:sz w:val="36"/>
              <w:szCs w:val="36"/>
            </w:rPr>
            <w:tab/>
          </w:r>
          <w:r>
            <w:rPr>
              <w:sz w:val="36"/>
              <w:szCs w:val="36"/>
            </w:rPr>
            <w:fldChar w:fldCharType="begin"/>
          </w:r>
          <w:r>
            <w:rPr>
              <w:sz w:val="36"/>
              <w:szCs w:val="36"/>
            </w:rPr>
            <w:instrText xml:space="preserve"> PAGEREF _Toc1532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_Toc6145 </w:instrText>
          </w:r>
          <w:r>
            <w:rPr>
              <w:sz w:val="36"/>
              <w:szCs w:val="36"/>
            </w:rPr>
            <w:fldChar w:fldCharType="separate"/>
          </w:r>
          <w:r>
            <w:rPr>
              <w:rFonts w:hint="eastAsia" w:ascii="宋体" w:hAnsi="宋体" w:eastAsia="宋体" w:cs="宋体"/>
              <w:sz w:val="36"/>
              <w:szCs w:val="52"/>
              <w:lang w:val="en-US" w:eastAsia="zh-CN"/>
            </w:rPr>
            <w:t>3.职责</w:t>
          </w:r>
          <w:r>
            <w:rPr>
              <w:sz w:val="36"/>
              <w:szCs w:val="36"/>
            </w:rPr>
            <w:tab/>
          </w:r>
          <w:r>
            <w:rPr>
              <w:sz w:val="36"/>
              <w:szCs w:val="36"/>
            </w:rPr>
            <w:fldChar w:fldCharType="begin"/>
          </w:r>
          <w:r>
            <w:rPr>
              <w:sz w:val="36"/>
              <w:szCs w:val="36"/>
            </w:rPr>
            <w:instrText xml:space="preserve"> PAGEREF _Toc6145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_Toc7122 </w:instrText>
          </w:r>
          <w:r>
            <w:rPr>
              <w:sz w:val="36"/>
              <w:szCs w:val="36"/>
            </w:rPr>
            <w:fldChar w:fldCharType="separate"/>
          </w:r>
          <w:r>
            <w:rPr>
              <w:rFonts w:hint="eastAsia" w:ascii="宋体" w:hAnsi="宋体" w:eastAsia="宋体" w:cs="宋体"/>
              <w:sz w:val="36"/>
              <w:szCs w:val="52"/>
              <w:lang w:val="en-US" w:eastAsia="zh-CN"/>
            </w:rPr>
            <w:t>4.方法与过程管控</w:t>
          </w:r>
          <w:r>
            <w:rPr>
              <w:sz w:val="36"/>
              <w:szCs w:val="36"/>
            </w:rPr>
            <w:tab/>
          </w:r>
          <w:r>
            <w:rPr>
              <w:sz w:val="36"/>
              <w:szCs w:val="36"/>
            </w:rPr>
            <w:fldChar w:fldCharType="begin"/>
          </w:r>
          <w:r>
            <w:rPr>
              <w:sz w:val="36"/>
              <w:szCs w:val="36"/>
            </w:rPr>
            <w:instrText xml:space="preserve"> PAGEREF _Toc7122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_Toc556 </w:instrText>
          </w:r>
          <w:r>
            <w:rPr>
              <w:sz w:val="36"/>
              <w:szCs w:val="36"/>
            </w:rPr>
            <w:fldChar w:fldCharType="separate"/>
          </w:r>
          <w:r>
            <w:rPr>
              <w:rFonts w:hint="eastAsia" w:ascii="宋体" w:hAnsi="宋体" w:eastAsia="宋体" w:cs="宋体"/>
              <w:sz w:val="36"/>
              <w:szCs w:val="52"/>
              <w:lang w:val="en-US" w:eastAsia="zh-CN"/>
            </w:rPr>
            <w:t>5.任务清单</w:t>
          </w:r>
          <w:r>
            <w:rPr>
              <w:sz w:val="36"/>
              <w:szCs w:val="36"/>
            </w:rPr>
            <w:tab/>
          </w:r>
          <w:r>
            <w:rPr>
              <w:sz w:val="36"/>
              <w:szCs w:val="36"/>
            </w:rPr>
            <w:fldChar w:fldCharType="begin"/>
          </w:r>
          <w:r>
            <w:rPr>
              <w:sz w:val="36"/>
              <w:szCs w:val="36"/>
            </w:rPr>
            <w:instrText xml:space="preserve"> PAGEREF _Toc556 \h </w:instrText>
          </w:r>
          <w:r>
            <w:rPr>
              <w:sz w:val="36"/>
              <w:szCs w:val="36"/>
            </w:rPr>
            <w:fldChar w:fldCharType="separate"/>
          </w:r>
          <w:r>
            <w:rPr>
              <w:sz w:val="36"/>
              <w:szCs w:val="36"/>
            </w:rPr>
            <w:t>6</w:t>
          </w:r>
          <w:r>
            <w:rPr>
              <w:sz w:val="36"/>
              <w:szCs w:val="36"/>
            </w:rPr>
            <w:fldChar w:fldCharType="end"/>
          </w:r>
          <w:r>
            <w:rPr>
              <w:sz w:val="36"/>
              <w:szCs w:val="36"/>
            </w:rPr>
            <w:fldChar w:fldCharType="end"/>
          </w:r>
        </w:p>
        <w:p>
          <w:r>
            <w:rPr>
              <w:sz w:val="36"/>
              <w:szCs w:val="36"/>
            </w:rPr>
            <w:fldChar w:fldCharType="end"/>
          </w:r>
        </w:p>
      </w:sdtContent>
    </w:sdt>
    <w:p>
      <w:pP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br w:type="page"/>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default" w:ascii="宋体" w:hAnsi="宋体" w:eastAsia="宋体" w:cs="宋体"/>
          <w:b/>
          <w:sz w:val="30"/>
          <w:szCs w:val="30"/>
          <w:lang w:val="en-US" w:eastAsia="zh-CN"/>
        </w:rPr>
      </w:pPr>
      <w:bookmarkStart w:id="0" w:name="_Toc16544"/>
      <w:r>
        <w:rPr>
          <w:rFonts w:hint="eastAsia" w:ascii="宋体" w:hAnsi="宋体" w:eastAsia="宋体" w:cs="宋体"/>
          <w:b/>
          <w:sz w:val="30"/>
          <w:szCs w:val="30"/>
          <w:lang w:val="en-US" w:eastAsia="zh-CN"/>
        </w:rPr>
        <w:t>1.目的</w:t>
      </w:r>
      <w:bookmarkEnd w:id="0"/>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为了及时了解和掌握公司安全生产情况，协调和解决公司生产经营过程中安全生产方面存在的问题，消除事故隐患，确保安全生产，特制定本制度。</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1" w:name="_Toc1532"/>
      <w:r>
        <w:rPr>
          <w:rFonts w:hint="eastAsia" w:ascii="宋体" w:hAnsi="宋体" w:eastAsia="宋体" w:cs="宋体"/>
          <w:b/>
          <w:sz w:val="30"/>
          <w:szCs w:val="30"/>
          <w:lang w:val="en-US" w:eastAsia="zh-CN"/>
        </w:rPr>
        <w:t>2.范围</w:t>
      </w:r>
      <w:bookmarkEnd w:id="1"/>
    </w:p>
    <w:p>
      <w:pPr>
        <w:pStyle w:val="17"/>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本文件适用于公司安全生产委员会、分公司级、专/兼职安全生产管理人员安全生产会议、项目级和不定期安全生产会议的管理。</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2" w:name="_Toc6145"/>
      <w:r>
        <w:rPr>
          <w:rFonts w:hint="eastAsia" w:ascii="宋体" w:hAnsi="宋体" w:eastAsia="宋体" w:cs="宋体"/>
          <w:b/>
          <w:sz w:val="30"/>
          <w:szCs w:val="30"/>
          <w:lang w:val="en-US" w:eastAsia="zh-CN"/>
        </w:rPr>
        <w:t>3.职责</w:t>
      </w:r>
      <w:bookmarkEnd w:id="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978"/>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78"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岗位</w:t>
            </w:r>
          </w:p>
        </w:tc>
        <w:tc>
          <w:tcPr>
            <w:tcW w:w="4978"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分公司总经理</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主持召开分公司安全生产会议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分公司片区总监</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组织召开分公司</w:t>
            </w:r>
            <w:r>
              <w:rPr>
                <w:rFonts w:hint="eastAsia" w:ascii="宋体" w:hAnsi="宋体" w:eastAsia="宋体" w:cs="宋体"/>
                <w:sz w:val="24"/>
                <w:szCs w:val="24"/>
                <w:lang w:val="en-US" w:eastAsia="zh-CN"/>
              </w:rPr>
              <w:t>片区</w:t>
            </w:r>
            <w:r>
              <w:rPr>
                <w:rFonts w:hint="eastAsia" w:ascii="宋体" w:hAnsi="宋体" w:eastAsia="宋体" w:cs="宋体"/>
                <w:sz w:val="24"/>
                <w:szCs w:val="24"/>
              </w:rPr>
              <w:t>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项目</w:t>
            </w:r>
            <w:r>
              <w:rPr>
                <w:rFonts w:hint="eastAsia" w:ascii="宋体" w:hAnsi="宋体" w:eastAsia="宋体" w:cs="宋体"/>
                <w:sz w:val="24"/>
                <w:szCs w:val="24"/>
              </w:rPr>
              <w:t>经理</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主持召开项目安全生产会议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专职</w:t>
            </w:r>
            <w:r>
              <w:rPr>
                <w:rFonts w:hint="eastAsia" w:ascii="宋体" w:hAnsi="宋体" w:eastAsia="宋体" w:cs="宋体"/>
                <w:sz w:val="24"/>
                <w:szCs w:val="24"/>
              </w:rPr>
              <w:t>安全生产管理人员</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组织召开项目安全生产会议</w:t>
            </w:r>
          </w:p>
        </w:tc>
      </w:tr>
    </w:tbl>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3" w:name="_Toc7122"/>
      <w:r>
        <w:rPr>
          <w:rFonts w:hint="eastAsia" w:ascii="宋体" w:hAnsi="宋体" w:eastAsia="宋体" w:cs="宋体"/>
          <w:b/>
          <w:sz w:val="30"/>
          <w:szCs w:val="30"/>
          <w:lang w:val="en-US" w:eastAsia="zh-CN"/>
        </w:rPr>
        <w:t>4.方法与过程管控</w:t>
      </w:r>
      <w:bookmarkEnd w:id="3"/>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960" w:firstLineChars="400"/>
        <w:textAlignment w:val="auto"/>
        <w:rPr>
          <w:rFonts w:hint="eastAsia" w:ascii="宋体" w:hAnsi="宋体"/>
          <w:sz w:val="24"/>
        </w:rPr>
      </w:pPr>
      <w:r>
        <w:rPr>
          <w:rFonts w:hint="eastAsia" w:ascii="宋体" w:hAnsi="宋体"/>
          <w:sz w:val="24"/>
        </w:rPr>
        <w:t>4.1 安全生产会议基本要求</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rPr>
      </w:pPr>
      <w:r>
        <w:rPr>
          <w:rFonts w:hint="eastAsia" w:ascii="宋体" w:hAnsi="宋体"/>
          <w:sz w:val="24"/>
        </w:rPr>
        <w:t>(1) 会议组织者在开会之前，应做好会议相关材料的准备工作，梳理会议上要讨论研究解决的问题，并根据需要，向有关部门和领导进行通报,并对存在问题及时协调处理。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rPr>
      </w:pPr>
      <w:r>
        <w:rPr>
          <w:rFonts w:hint="eastAsia" w:ascii="宋体" w:hAnsi="宋体"/>
          <w:sz w:val="24"/>
        </w:rPr>
        <w:t>(2) 被通知需要参加会议的人员，应按时参加会议，如因故不能参加，应在会议召开前向会议组织者报备并说明原因。</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eastAsiaTheme="minorEastAsia"/>
          <w:sz w:val="24"/>
          <w:lang w:eastAsia="zh-CN"/>
        </w:rPr>
      </w:pPr>
      <w:r>
        <w:rPr>
          <w:rFonts w:hint="eastAsia" w:ascii="宋体" w:hAnsi="宋体"/>
          <w:sz w:val="24"/>
        </w:rPr>
        <w:t>(3) 会议上决定的事项，各组织/部门和相关责任人，应按照会议要求认真落实</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rPr>
      </w:pPr>
      <w:r>
        <w:rPr>
          <w:rFonts w:hint="eastAsia" w:ascii="宋体" w:hAnsi="宋体"/>
          <w:sz w:val="24"/>
        </w:rPr>
        <w:t>(4) 每次会议都要形成会议纪要，并发给参加会议人员。会议纪要包括召开日期、组织者、参加人员、会议主要内容、会议照片等。</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960" w:firstLineChars="40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2</w:t>
      </w:r>
      <w:r>
        <w:rPr>
          <w:rFonts w:hint="eastAsia" w:ascii="宋体" w:hAnsi="宋体"/>
          <w:sz w:val="24"/>
        </w:rPr>
        <w:t xml:space="preserve"> 分公司级安全生产会议</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(1)分公司总经理主持，安全生产工作对接人组织，</w:t>
      </w:r>
      <w:r>
        <w:rPr>
          <w:rFonts w:hint="eastAsia" w:ascii="宋体" w:hAnsi="宋体"/>
          <w:sz w:val="24"/>
          <w:lang w:val="en-US" w:eastAsia="zh-CN"/>
        </w:rPr>
        <w:t>片区</w:t>
      </w:r>
      <w:r>
        <w:rPr>
          <w:rFonts w:hint="eastAsia" w:ascii="宋体" w:hAnsi="宋体"/>
          <w:sz w:val="24"/>
        </w:rPr>
        <w:t>总监、相关业务条线专家、项目驻场经理参加，每月至少召开一次</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(2) 会议主要内容:</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A.总结上月安全生产工作</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B.传达、落实上级有关安全生产方面的方针政策有关文件，并提出本部门的具体落实措施</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C.对发生的安全生产事故/突发事件进行分析，并提出整改措施、处理决定</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D.表彰和奖励安全生产先进和事迹</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E.对生产中存在的问题和事故隐患研究落实解决问题的措施和方法等</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F.部署本月安全生产工作重点。</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(3) 会议由分公司总经理指定专人记录，分公司安全生产工作对接人不定期抽查会议决议执行情况。</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960" w:firstLineChars="40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专/兼职安全生产管理人员安全生产会议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 公司专职安全生产管理人员主持，各分公司安全生产工作对接人、项目兼职安全生产管理人员参加，每月至少召开一次。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 会议主要内容: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A.总结上月份的安全生产工作，包括但不限于通报上月安全事故、隐患、违章及安全生产培训等目标指标完成情况: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B.传达上级有关安全生产方面的方针政策有关文件，并研究提出公司的贯彻落实措施: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C.分析安全生产事故/突发事件案例: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D.对生产工作中存在的各类安全问题和事故隐患提出解决的措施和要求等;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E.部署当月的安全生产工作重点。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4</w:t>
      </w:r>
      <w:r>
        <w:rPr>
          <w:rFonts w:hint="default" w:ascii="宋体" w:hAnsi="宋体" w:eastAsia="宋体" w:cs="宋体"/>
          <w:kern w:val="2"/>
          <w:sz w:val="24"/>
          <w:szCs w:val="24"/>
          <w:lang w:val="en-US" w:eastAsia="zh-CN" w:bidi="ar-SA"/>
        </w:rPr>
        <w:t>项目级安全生产会议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 驻场经理主持，兼职安全生产管理人员组织，各系统负责人参加，每月至少召开一次。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 会议主要内容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A.总结上月份的安全生产工作</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B.传达、落实上级有关安全生产方面的方针政策有关文件，并提出本项目的具体落实措施</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C.对发生的安全生产事故/突发事件进行分析，并提出整改措施、处理决定</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D.表彰和奖励安全生产先进和事迹</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E.对生产中存在的问题和事故隐患研究落实解决问题的措施和方法等</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F.部署当月的安全生产工作重点</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 会议由驻场经理指定专人记录，兼职安全生产管理人员检查会议决议执行情况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5</w:t>
      </w:r>
      <w:r>
        <w:rPr>
          <w:rFonts w:hint="default" w:ascii="宋体" w:hAnsi="宋体" w:eastAsia="宋体" w:cs="宋体"/>
          <w:kern w:val="2"/>
          <w:sz w:val="24"/>
          <w:szCs w:val="24"/>
          <w:lang w:val="en-US" w:eastAsia="zh-CN" w:bidi="ar-SA"/>
        </w:rPr>
        <w:t>不定期安全生产会议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根据安全生产的季节性和突发性等实际需要，由公司专职安全生产管理人员负责组织相关人员召开，并负责会议记录及对会议决议执行情况进行督促、验证。</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4" w:name="_Toc556"/>
      <w:r>
        <w:rPr>
          <w:rFonts w:hint="eastAsia" w:ascii="宋体" w:hAnsi="宋体" w:eastAsia="宋体" w:cs="宋体"/>
          <w:b/>
          <w:sz w:val="30"/>
          <w:szCs w:val="30"/>
          <w:lang w:val="en-US" w:eastAsia="zh-CN"/>
        </w:rPr>
        <w:t>5.任务清单</w:t>
      </w:r>
      <w:bookmarkEnd w:id="4"/>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51"/>
        <w:gridCol w:w="4018"/>
        <w:gridCol w:w="3418"/>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1"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序号</w:t>
            </w:r>
          </w:p>
        </w:tc>
        <w:tc>
          <w:tcPr>
            <w:tcW w:w="4018" w:type="dxa"/>
            <w:vAlign w:val="center"/>
          </w:tcPr>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任务</w:t>
            </w:r>
          </w:p>
        </w:tc>
        <w:tc>
          <w:tcPr>
            <w:tcW w:w="3418"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责任组织/岗位</w:t>
            </w:r>
          </w:p>
        </w:tc>
        <w:tc>
          <w:tcPr>
            <w:tcW w:w="1221"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1"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分公司级安全生产会议</w:t>
            </w:r>
          </w:p>
        </w:tc>
        <w:tc>
          <w:tcPr>
            <w:tcW w:w="3418"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分公司</w:t>
            </w:r>
          </w:p>
        </w:tc>
        <w:tc>
          <w:tcPr>
            <w:tcW w:w="1221"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1"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专/兼职安全生产管理人员安全生产会议</w:t>
            </w:r>
          </w:p>
        </w:tc>
        <w:tc>
          <w:tcPr>
            <w:tcW w:w="3418"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安全生产管理人员</w:t>
            </w:r>
          </w:p>
        </w:tc>
        <w:tc>
          <w:tcPr>
            <w:tcW w:w="1221"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1"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项目级安全生产会议</w:t>
            </w:r>
          </w:p>
        </w:tc>
        <w:tc>
          <w:tcPr>
            <w:tcW w:w="3418"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项目物业服务中心</w:t>
            </w:r>
          </w:p>
        </w:tc>
        <w:tc>
          <w:tcPr>
            <w:tcW w:w="1221"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1 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1"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不定期安全生产会议</w:t>
            </w:r>
          </w:p>
        </w:tc>
        <w:tc>
          <w:tcPr>
            <w:tcW w:w="3418"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专职安全生产管理人员</w:t>
            </w:r>
          </w:p>
        </w:tc>
        <w:tc>
          <w:tcPr>
            <w:tcW w:w="1221" w:type="dxa"/>
            <w:vAlign w:val="center"/>
          </w:tcPr>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即时</w:t>
            </w:r>
          </w:p>
        </w:tc>
      </w:tr>
    </w:tbl>
    <w:p>
      <w:pPr>
        <w:keepNext w:val="0"/>
        <w:keepLines w:val="0"/>
        <w:pageBreakBefore w:val="0"/>
        <w:widowControl w:val="0"/>
        <w:numPr>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p>
    <w:sectPr>
      <w:footerReference r:id="rId7" w:type="default"/>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康行楷体 W5">
    <w:panose1 w:val="03000509000000000000"/>
    <w:charset w:val="86"/>
    <w:family w:val="auto"/>
    <w:pitch w:val="default"/>
    <w:sig w:usb0="A00002BF" w:usb1="3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388" w:type="dxa"/>
      <w:jc w:val="center"/>
      <w:tblLayout w:type="fixed"/>
      <w:tblCellMar>
        <w:top w:w="0" w:type="dxa"/>
        <w:left w:w="0" w:type="dxa"/>
        <w:bottom w:w="0" w:type="dxa"/>
        <w:right w:w="0" w:type="dxa"/>
      </w:tblCellMar>
    </w:tblPr>
    <w:tblGrid>
      <w:gridCol w:w="1028"/>
      <w:gridCol w:w="941"/>
      <w:gridCol w:w="941"/>
      <w:gridCol w:w="941"/>
      <w:gridCol w:w="941"/>
      <w:gridCol w:w="626"/>
      <w:gridCol w:w="862"/>
      <w:gridCol w:w="581"/>
      <w:gridCol w:w="2527"/>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szCs w:val="21"/>
            </w:rPr>
          </w:pPr>
          <w:r>
            <w:rPr>
              <w:rFonts w:hint="eastAsia" w:ascii="等线" w:hAnsi="等线" w:cs="仿宋"/>
              <w:szCs w:val="21"/>
            </w:rPr>
            <w:t>南充金润华府物业服务中心管理制度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AQSC-2022</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10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39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szCs w:val="21"/>
            </w:rPr>
            <w:t>安全生产管理责任清单</w:t>
          </w:r>
          <w:r>
            <w:rPr>
              <w:rFonts w:hint="eastAsia" w:ascii="宋体" w:hAnsi="宋体"/>
              <w:szCs w:val="21"/>
              <w:lang w:eastAsia="zh-CN"/>
            </w:rPr>
            <w:t>（</w:t>
          </w:r>
          <w:r>
            <w:rPr>
              <w:rFonts w:hint="eastAsia" w:ascii="宋体" w:hAnsi="宋体"/>
              <w:szCs w:val="21"/>
              <w:lang w:val="en-US" w:eastAsia="zh-CN"/>
            </w:rPr>
            <w:t>2.0</w:t>
          </w:r>
          <w:r>
            <w:rPr>
              <w:rFonts w:hint="eastAsia" w:ascii="宋体" w:hAnsi="宋体"/>
              <w:szCs w:val="21"/>
              <w:lang w:eastAsia="zh-CN"/>
            </w:rPr>
            <w:t>）</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58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52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6</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10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br w:type="textWrapping"/>
          </w:r>
          <w:r>
            <w:rPr>
              <w:rFonts w:hint="eastAsia"/>
              <w:b/>
              <w:bCs/>
            </w:rPr>
            <w:t>编制</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廖军</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626"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pPr>
          <w:r>
            <w:rPr>
              <w:rFonts w:hint="eastAsia"/>
              <w:lang w:val="en-US" w:eastAsia="zh-CN"/>
            </w:rPr>
            <w:t>杨维</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b/>
              <w:bCs/>
            </w:rPr>
            <w:t>2</w:t>
          </w:r>
          <w:r>
            <w:rPr>
              <w:rFonts w:hint="eastAsia"/>
              <w:b/>
              <w:bCs/>
            </w:rPr>
            <w:t>年</w:t>
          </w:r>
          <w:r>
            <w:rPr>
              <w:rFonts w:hint="eastAsia"/>
              <w:b/>
              <w:bCs/>
              <w:lang w:val="en-US" w:eastAsia="zh-CN"/>
            </w:rPr>
            <w:t>12</w:t>
          </w:r>
          <w:r>
            <w:rPr>
              <w:rFonts w:hint="eastAsia"/>
              <w:b/>
              <w:bCs/>
            </w:rPr>
            <w:t>月1日</w:t>
          </w:r>
        </w:p>
      </w:tc>
    </w:tr>
  </w:tbl>
  <w:p>
    <w:pPr>
      <w:pStyle w:val="10"/>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0"/>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11A706B9"/>
    <w:rsid w:val="11D334FB"/>
    <w:rsid w:val="11F600D7"/>
    <w:rsid w:val="13145075"/>
    <w:rsid w:val="17E8173E"/>
    <w:rsid w:val="19475930"/>
    <w:rsid w:val="1B715B45"/>
    <w:rsid w:val="1C540E62"/>
    <w:rsid w:val="1EA60393"/>
    <w:rsid w:val="202C0FB4"/>
    <w:rsid w:val="213C4FC9"/>
    <w:rsid w:val="22A7542C"/>
    <w:rsid w:val="260E2B09"/>
    <w:rsid w:val="26473ED0"/>
    <w:rsid w:val="2DAD42EB"/>
    <w:rsid w:val="2DD41286"/>
    <w:rsid w:val="2EE971D6"/>
    <w:rsid w:val="2FAC16F6"/>
    <w:rsid w:val="31F87619"/>
    <w:rsid w:val="33021B8B"/>
    <w:rsid w:val="34A640F4"/>
    <w:rsid w:val="35377ED2"/>
    <w:rsid w:val="374F76FB"/>
    <w:rsid w:val="3F6D0A65"/>
    <w:rsid w:val="3FBA776C"/>
    <w:rsid w:val="414A7C46"/>
    <w:rsid w:val="42522137"/>
    <w:rsid w:val="42892A33"/>
    <w:rsid w:val="429955FF"/>
    <w:rsid w:val="432F3B2D"/>
    <w:rsid w:val="43CC3AB9"/>
    <w:rsid w:val="44160433"/>
    <w:rsid w:val="44BB575E"/>
    <w:rsid w:val="47533CBC"/>
    <w:rsid w:val="499800C1"/>
    <w:rsid w:val="4B257199"/>
    <w:rsid w:val="4C87182C"/>
    <w:rsid w:val="4D633F8B"/>
    <w:rsid w:val="4DCA4FE6"/>
    <w:rsid w:val="4EDB3540"/>
    <w:rsid w:val="4F2828FA"/>
    <w:rsid w:val="51000C05"/>
    <w:rsid w:val="539D78BB"/>
    <w:rsid w:val="56355A77"/>
    <w:rsid w:val="59A958FF"/>
    <w:rsid w:val="5A3E57E0"/>
    <w:rsid w:val="5C273FB3"/>
    <w:rsid w:val="5D727568"/>
    <w:rsid w:val="5ED36EC0"/>
    <w:rsid w:val="5F650707"/>
    <w:rsid w:val="5FCA5376"/>
    <w:rsid w:val="60FD01C3"/>
    <w:rsid w:val="6157146B"/>
    <w:rsid w:val="62E9411A"/>
    <w:rsid w:val="668579AF"/>
    <w:rsid w:val="6BE7740C"/>
    <w:rsid w:val="6C0F0CED"/>
    <w:rsid w:val="6C2E204E"/>
    <w:rsid w:val="6CE71124"/>
    <w:rsid w:val="6CF438D5"/>
    <w:rsid w:val="6D25144D"/>
    <w:rsid w:val="6E5864B7"/>
    <w:rsid w:val="6F867812"/>
    <w:rsid w:val="70620E64"/>
    <w:rsid w:val="706F589F"/>
    <w:rsid w:val="710B44B6"/>
    <w:rsid w:val="73BD355B"/>
    <w:rsid w:val="76922A9F"/>
    <w:rsid w:val="78363B67"/>
    <w:rsid w:val="78A91184"/>
    <w:rsid w:val="79616112"/>
    <w:rsid w:val="7A3420E8"/>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1"/>
    <w:pPr>
      <w:ind w:firstLine="420" w:firstLineChars="200"/>
    </w:p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1">
    <w:name w:val="标题 2_NM"/>
    <w:basedOn w:val="4"/>
    <w:qFormat/>
    <w:uiPriority w:val="0"/>
    <w:pPr>
      <w:outlineLvl w:val="9"/>
    </w:pPr>
    <w:rPr>
      <w:b w:val="0"/>
      <w:lang w:val="zh-CN"/>
    </w:rPr>
  </w:style>
  <w:style w:type="character" w:customStyle="1" w:styleId="22">
    <w:name w:val="Book Title"/>
    <w:basedOn w:val="15"/>
    <w:qFormat/>
    <w:uiPriority w:val="33"/>
    <w:rPr>
      <w:b/>
      <w:bCs/>
      <w:i/>
      <w:iCs/>
      <w:spacing w:val="5"/>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1535</Words>
  <Characters>1652</Characters>
  <Lines>0</Lines>
  <Paragraphs>0</Paragraphs>
  <TotalTime>5</TotalTime>
  <ScaleCrop>false</ScaleCrop>
  <LinksUpToDate>false</LinksUpToDate>
  <CharactersWithSpaces>1869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2023-07-28T05:58:38Z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