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阆中市粮食和物资储备有限公司</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安全风险隐患报告奖励管理</w:t>
      </w:r>
      <w:r>
        <w:rPr>
          <w:rFonts w:hint="eastAsia" w:asciiTheme="majorEastAsia" w:hAnsiTheme="majorEastAsia" w:eastAsiaTheme="majorEastAsia" w:cstheme="majorEastAsia"/>
          <w:b/>
          <w:bCs/>
          <w:sz w:val="44"/>
          <w:szCs w:val="44"/>
          <w:lang w:val="en-US" w:eastAsia="zh-CN"/>
        </w:rPr>
        <w:t>办法</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第一条 为鼓励员工及时发现报告举报安全生产隐患问题，加强安全生产隐患问题监督管理，实现“零伤害、零事故”，坚决做到“零违章”，努力实现“零隐患”，促进公司安全生产形势持续平稳，结合实际制定本</w:t>
      </w:r>
      <w:r>
        <w:rPr>
          <w:rFonts w:hint="eastAsia" w:asciiTheme="minorEastAsia" w:hAnsiTheme="minorEastAsia" w:cstheme="minorEastAsia"/>
          <w:sz w:val="32"/>
          <w:szCs w:val="32"/>
          <w:lang w:val="en-US" w:eastAsia="zh-CN"/>
        </w:rPr>
        <w:t>办法</w:t>
      </w:r>
      <w:r>
        <w:rPr>
          <w:rFonts w:hint="eastAsia" w:asciiTheme="minorEastAsia" w:hAnsiTheme="minorEastAsia" w:eastAsiaTheme="minorEastAsia" w:cstheme="minorEastAsia"/>
          <w:sz w:val="32"/>
          <w:szCs w:val="32"/>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公司实行安全隐患问题报告举报激励制度，坚持“自查自报隐患奖励，外部查出隐患处罚”的原则。</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办法</w:t>
      </w:r>
      <w:r>
        <w:rPr>
          <w:rFonts w:hint="eastAsia" w:asciiTheme="minorEastAsia" w:hAnsiTheme="minorEastAsia" w:eastAsiaTheme="minorEastAsia" w:cstheme="minorEastAsia"/>
          <w:sz w:val="32"/>
          <w:szCs w:val="32"/>
        </w:rPr>
        <w:t>所称安全生产隐患问题是指生产经营过程中违反安全生产法律、法规、规章、标准、规程和安全生产管理制度的规定，可能导致人身伤亡或经济损失的物的不安全状态、人的不安全行为和管理上的缺陷。</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办法</w:t>
      </w:r>
      <w:r>
        <w:rPr>
          <w:rFonts w:hint="eastAsia" w:asciiTheme="minorEastAsia" w:hAnsiTheme="minorEastAsia" w:eastAsiaTheme="minorEastAsia" w:cstheme="minorEastAsia"/>
          <w:sz w:val="32"/>
          <w:szCs w:val="32"/>
        </w:rPr>
        <w:t>适用公司范围内的安全生产隐患问题(以下简称隐患)的报告和举报。</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第五条 安全生产隐患分为一般隐患和重大隐患，重大隐患参照《工贸行业重大生产安全事故隐患判定标准》判定。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第六条 公司生产经营范围内存在的安全隐患，所有员工均有权报告，包括对非本岗位存在或负责治理的安全隐患</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严重违规违章行为、重大隐患及长期未得到整改的问题隐患进对行举报。</w:t>
      </w:r>
      <w:r>
        <w:rPr>
          <w:rFonts w:hint="eastAsia" w:asciiTheme="minorEastAsia" w:hAnsiTheme="minorEastAsia" w:eastAsiaTheme="minorEastAsia" w:cstheme="minorEastAsia"/>
          <w:sz w:val="32"/>
          <w:szCs w:val="32"/>
        </w:rPr>
        <w:tab/>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隐患报告举报一般采用书面报告方式，需提供报告人的真实姓名、单位、联系电话等信息，以便及时核实、整改隐患及兑现奖励。</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公司安全环保部应将</w:t>
      </w:r>
      <w:r>
        <w:rPr>
          <w:rFonts w:hint="eastAsia" w:asciiTheme="minorEastAsia" w:hAnsiTheme="minorEastAsia" w:cstheme="minorEastAsia"/>
          <w:sz w:val="32"/>
          <w:szCs w:val="32"/>
          <w:lang w:val="en-US" w:eastAsia="zh-CN"/>
        </w:rPr>
        <w:t>报告</w:t>
      </w:r>
      <w:r>
        <w:rPr>
          <w:rFonts w:hint="eastAsia" w:asciiTheme="minorEastAsia" w:hAnsiTheme="minorEastAsia" w:eastAsiaTheme="minorEastAsia" w:cstheme="minorEastAsia"/>
          <w:sz w:val="32"/>
          <w:szCs w:val="32"/>
        </w:rPr>
        <w:t>举报隐患的方式进行公告。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第八条 报告举报应说明隐患问题所在单位、部位、违法违规违章行为及行为人姓名等。</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第九条 公司成立安全生产隐患判定评估工作组，负责安全生产隐患判定、真实性核实、整改任务分配、整改闭环及奖励兑现等工作，成员包括公司安全生产主管领导、安全环保部、</w:t>
      </w:r>
      <w:r>
        <w:rPr>
          <w:rFonts w:hint="eastAsia" w:asciiTheme="minorEastAsia" w:hAnsiTheme="minorEastAsia" w:cstheme="minorEastAsia"/>
          <w:sz w:val="32"/>
          <w:szCs w:val="32"/>
          <w:lang w:val="en-US" w:eastAsia="zh-CN"/>
        </w:rPr>
        <w:t>检化验中心</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纪检督查室</w:t>
      </w:r>
      <w:r>
        <w:rPr>
          <w:rFonts w:hint="eastAsia" w:asciiTheme="minorEastAsia" w:hAnsiTheme="minorEastAsia" w:eastAsiaTheme="minorEastAsia" w:cstheme="minorEastAsia"/>
          <w:sz w:val="32"/>
          <w:szCs w:val="32"/>
        </w:rPr>
        <w:t>、子公司等单位人员。</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第十条 隐患判定评估工作组指定专人负责隐患报告举报信息的收集工作，受理人应对收集的隐患进行书面登记，详实填写《安全生产隐患问题报告举报处理情况表》如属已受理过的同一内容及非安全生产隐患的，应向报告或举报人说明。</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第十一条 隐患报告举报受理工作人员应采用现场勘查或其他可靠方式核实隐患的真实性，经核实属实的，由受理人员将隐患信息转相关责任人限期整改。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第十二条 隐患判定评估工作组每月召开一次专题会议，对当月隐患报告举报情况进行统计分析，对报告或举报人(主要针对生产一线班长和岗位操作人员)进行奖励。</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第十三条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一般隐患报告举报奖励标准为每条20元至50</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元</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重大隐患报告举报奖励标准为每条100</w:t>
      </w:r>
      <w:r>
        <w:rPr>
          <w:rFonts w:hint="eastAsia" w:asciiTheme="minorEastAsia" w:hAnsiTheme="minorEastAsia" w:cstheme="minorEastAsia"/>
          <w:sz w:val="32"/>
          <w:szCs w:val="32"/>
          <w:lang w:val="en-US" w:eastAsia="zh-CN"/>
        </w:rPr>
        <w:t>至</w:t>
      </w:r>
      <w:r>
        <w:rPr>
          <w:rFonts w:hint="eastAsia" w:asciiTheme="minorEastAsia" w:hAnsiTheme="minorEastAsia" w:eastAsiaTheme="minorEastAsia" w:cstheme="minorEastAsia"/>
          <w:sz w:val="32"/>
          <w:szCs w:val="32"/>
        </w:rPr>
        <w:t>500元</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报告举报隐患为新发现的隐患或具有典型意义，对其他设备、工房和单位具有借鉴意义，奖励标准为每条100元至500元</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举报查处人员违规行为的，按处罚额(不含对责任单位领导班子的处罚金额)的50%奖励举报人员，奖励金额最高不超过1000元。</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第十四条隐患报告举报奖励实行一事一评、一事一奖，属于同一次报告举报内容可合并填报，奖金从安全生产费用列支，每月评审一次。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第十五条 同一隐患报告举报奖励以第一次报告举报为准，多人联名报告举报同一隐患的，由第一署名人领取并负责分发奖金。</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第十六条 隐患整改责任人整改隐患后，应及时将整改情况反馈受理人，未在规定时限内对事故隐患进行整改治理的单位及责任人，按照有关规定予以考核或责任追究。</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第十七条 公司鼓励员工自主排查整治安全隐患，及时解决安全生产方面的问题，员工主动排查治理安全隐患或解决安全方面问题且效果明显的，可主动填报《安全生产隐患问题报告举报处理表》，经核实后予以奖励。</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第十八条 报告举报隐患应当实事求是，不得捏造歪曲，更不得诬告陷害。对借举报之名捏造事实诬告他人或以举报为名干扰正常工作的，公司将追究相关人员的责任，情节严重的依法追究刑事责任。</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第十九条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办法</w:t>
      </w:r>
      <w:r>
        <w:rPr>
          <w:rFonts w:hint="eastAsia" w:asciiTheme="minorEastAsia" w:hAnsiTheme="minorEastAsia" w:eastAsiaTheme="minorEastAsia" w:cstheme="minorEastAsia"/>
          <w:sz w:val="32"/>
          <w:szCs w:val="32"/>
        </w:rPr>
        <w:t>执行中的具体问题</w:t>
      </w:r>
      <w:r>
        <w:rPr>
          <w:rFonts w:hint="eastAsia" w:asciiTheme="minorEastAsia" w:hAnsiTheme="minorEastAsia" w:cstheme="minorEastAsia"/>
          <w:sz w:val="32"/>
          <w:szCs w:val="32"/>
          <w:lang w:val="en-US" w:eastAsia="zh-CN"/>
        </w:rPr>
        <w:t>由</w:t>
      </w:r>
      <w:r>
        <w:rPr>
          <w:rFonts w:hint="eastAsia" w:asciiTheme="minorEastAsia" w:hAnsiTheme="minorEastAsia" w:eastAsiaTheme="minorEastAsia" w:cstheme="minorEastAsia"/>
          <w:sz w:val="32"/>
          <w:szCs w:val="32"/>
        </w:rPr>
        <w:t>公司安全环保部负责解释。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本规定自印发之日起试行。</w:t>
      </w: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阆中市粮食和物资储备有限公司</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安全生产隐患问题报告举报处理表</w:t>
      </w:r>
    </w:p>
    <w:p>
      <w:pPr>
        <w:jc w:val="center"/>
        <w:rPr>
          <w:rFonts w:hint="eastAsia" w:asciiTheme="majorEastAsia" w:hAnsiTheme="majorEastAsia" w:eastAsiaTheme="majorEastAsia" w:cstheme="majorEastAsia"/>
          <w:b/>
          <w:bCs/>
          <w:sz w:val="44"/>
          <w:szCs w:val="44"/>
        </w:rPr>
      </w:pPr>
    </w:p>
    <w:tbl>
      <w:tblPr>
        <w:tblStyle w:val="3"/>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6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990" w:type="dxa"/>
            <w:gridSpan w:val="2"/>
            <w:vAlign w:val="center"/>
          </w:tcPr>
          <w:p>
            <w:pPr>
              <w:jc w:val="both"/>
              <w:rPr>
                <w:sz w:val="32"/>
                <w:szCs w:val="32"/>
                <w:vertAlign w:val="baseline"/>
              </w:rPr>
            </w:pPr>
            <w:r>
              <w:rPr>
                <w:rFonts w:hint="eastAsia"/>
                <w:b/>
                <w:bCs/>
                <w:sz w:val="32"/>
                <w:szCs w:val="32"/>
                <w:vertAlign w:val="baseline"/>
                <w:lang w:val="en-US" w:eastAsia="zh-CN"/>
              </w:rPr>
              <w:t>报告人：</w:t>
            </w:r>
          </w:p>
        </w:tc>
        <w:tc>
          <w:tcPr>
            <w:tcW w:w="4290" w:type="dxa"/>
            <w:vAlign w:val="center"/>
          </w:tcPr>
          <w:p>
            <w:pPr>
              <w:jc w:val="both"/>
              <w:rPr>
                <w:rFonts w:hint="default" w:eastAsiaTheme="minorEastAsia"/>
                <w:sz w:val="32"/>
                <w:szCs w:val="32"/>
                <w:vertAlign w:val="baseline"/>
                <w:lang w:val="en-US" w:eastAsia="zh-CN"/>
              </w:rPr>
            </w:pPr>
            <w:r>
              <w:rPr>
                <w:rFonts w:hint="eastAsia"/>
                <w:b/>
                <w:bCs/>
                <w:sz w:val="32"/>
                <w:szCs w:val="32"/>
                <w:vertAlign w:val="baseline"/>
                <w:lang w:val="en-US" w:eastAsia="zh-CN"/>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Theme="minorEastAsia"/>
                <w:sz w:val="32"/>
                <w:szCs w:val="32"/>
                <w:vertAlign w:val="baseline"/>
                <w:lang w:val="en-US" w:eastAsia="zh-CN"/>
              </w:rPr>
            </w:pPr>
            <w:r>
              <w:rPr>
                <w:rFonts w:hint="eastAsia"/>
                <w:b/>
                <w:bCs/>
                <w:sz w:val="32"/>
                <w:szCs w:val="32"/>
                <w:vertAlign w:val="baseline"/>
                <w:lang w:val="en-US" w:eastAsia="zh-CN"/>
              </w:rPr>
              <w:t>报告事项</w:t>
            </w:r>
          </w:p>
        </w:tc>
        <w:tc>
          <w:tcPr>
            <w:tcW w:w="7455" w:type="dxa"/>
            <w:gridSpan w:val="2"/>
            <w:vAlign w:val="top"/>
          </w:tcPr>
          <w:p>
            <w:pPr>
              <w:jc w:val="both"/>
              <w:rPr>
                <w:rFonts w:hint="eastAsia"/>
                <w:sz w:val="32"/>
                <w:szCs w:val="32"/>
                <w:vertAlign w:val="baseline"/>
                <w:lang w:val="en-US" w:eastAsia="zh-CN"/>
              </w:rPr>
            </w:pPr>
            <w:r>
              <w:rPr>
                <w:rFonts w:hint="eastAsia"/>
                <w:b w:val="0"/>
                <w:bCs w:val="0"/>
                <w:sz w:val="32"/>
                <w:szCs w:val="32"/>
                <w:vertAlign w:val="baseline"/>
                <w:lang w:val="en-US" w:eastAsia="zh-CN"/>
              </w:rPr>
              <w:t>隐患位置：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25" w:type="dxa"/>
            <w:vMerge w:val="continue"/>
          </w:tcPr>
          <w:p>
            <w:pPr>
              <w:rPr>
                <w:sz w:val="32"/>
                <w:szCs w:val="32"/>
                <w:vertAlign w:val="baseline"/>
              </w:rPr>
            </w:pPr>
          </w:p>
        </w:tc>
        <w:tc>
          <w:tcPr>
            <w:tcW w:w="7455" w:type="dxa"/>
            <w:gridSpan w:val="2"/>
            <w:vAlign w:val="top"/>
          </w:tcPr>
          <w:p>
            <w:pPr>
              <w:jc w:val="both"/>
              <w:rPr>
                <w:rFonts w:hint="default"/>
                <w:sz w:val="32"/>
                <w:szCs w:val="32"/>
                <w:vertAlign w:val="baseline"/>
                <w:lang w:val="en-US"/>
              </w:rPr>
            </w:pPr>
            <w:r>
              <w:rPr>
                <w:rFonts w:hint="eastAsia"/>
                <w:b w:val="0"/>
                <w:bCs w:val="0"/>
                <w:sz w:val="32"/>
                <w:szCs w:val="32"/>
                <w:vertAlign w:val="baseline"/>
                <w:lang w:val="en-US" w:eastAsia="zh-CN"/>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Theme="minorEastAsia"/>
                <w:sz w:val="32"/>
                <w:szCs w:val="32"/>
                <w:vertAlign w:val="baseline"/>
                <w:lang w:val="en-US" w:eastAsia="zh-CN"/>
              </w:rPr>
            </w:pPr>
            <w:r>
              <w:rPr>
                <w:rFonts w:hint="eastAsia"/>
                <w:b/>
                <w:bCs/>
                <w:sz w:val="32"/>
                <w:szCs w:val="32"/>
                <w:vertAlign w:val="baseline"/>
                <w:lang w:val="en-US" w:eastAsia="zh-CN"/>
              </w:rPr>
              <w:t>受理情况</w:t>
            </w:r>
          </w:p>
        </w:tc>
        <w:tc>
          <w:tcPr>
            <w:tcW w:w="7455" w:type="dxa"/>
            <w:gridSpan w:val="2"/>
          </w:tcPr>
          <w:p>
            <w:pPr>
              <w:rPr>
                <w:rFonts w:hint="default" w:eastAsiaTheme="minorEastAsia"/>
                <w:sz w:val="32"/>
                <w:szCs w:val="32"/>
                <w:vertAlign w:val="baseline"/>
                <w:lang w:val="en-US" w:eastAsia="zh-CN"/>
              </w:rPr>
            </w:pPr>
            <w:r>
              <w:rPr>
                <w:rFonts w:hint="eastAsia"/>
                <w:sz w:val="32"/>
                <w:szCs w:val="32"/>
                <w:vertAlign w:val="baseline"/>
                <w:lang w:val="en-US" w:eastAsia="zh-CN"/>
              </w:rPr>
              <w:t>隐患核实：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825" w:type="dxa"/>
            <w:vMerge w:val="continue"/>
          </w:tcPr>
          <w:p>
            <w:pPr>
              <w:rPr>
                <w:sz w:val="32"/>
                <w:szCs w:val="32"/>
                <w:vertAlign w:val="baseline"/>
              </w:rPr>
            </w:pPr>
          </w:p>
        </w:tc>
        <w:tc>
          <w:tcPr>
            <w:tcW w:w="7455" w:type="dxa"/>
            <w:gridSpan w:val="2"/>
          </w:tcPr>
          <w:p>
            <w:pPr>
              <w:rPr>
                <w:rFonts w:hint="default" w:eastAsiaTheme="minorEastAsia"/>
                <w:sz w:val="32"/>
                <w:szCs w:val="32"/>
                <w:vertAlign w:val="baseline"/>
                <w:lang w:val="en-US" w:eastAsia="zh-CN"/>
              </w:rPr>
            </w:pPr>
            <w:r>
              <w:rPr>
                <w:rFonts w:hint="eastAsia"/>
                <w:sz w:val="32"/>
                <w:szCs w:val="32"/>
                <w:vertAlign w:val="baseline"/>
                <w:lang w:val="en-US" w:eastAsia="zh-CN"/>
              </w:rPr>
              <w:t>通知责任人整改记录：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Theme="minorEastAsia"/>
                <w:b/>
                <w:bCs/>
                <w:sz w:val="32"/>
                <w:szCs w:val="32"/>
                <w:vertAlign w:val="baseline"/>
                <w:lang w:val="en-US" w:eastAsia="zh-CN"/>
              </w:rPr>
            </w:pPr>
            <w:r>
              <w:rPr>
                <w:rFonts w:hint="eastAsia"/>
                <w:b/>
                <w:bCs/>
                <w:sz w:val="32"/>
                <w:szCs w:val="32"/>
                <w:vertAlign w:val="baseline"/>
                <w:lang w:val="en-US" w:eastAsia="zh-CN"/>
              </w:rPr>
              <w:t>整改情况</w:t>
            </w:r>
          </w:p>
        </w:tc>
        <w:tc>
          <w:tcPr>
            <w:tcW w:w="7455" w:type="dxa"/>
            <w:gridSpan w:val="2"/>
          </w:tcPr>
          <w:p>
            <w:pP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6" w:hRule="atLeast"/>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Theme="minorEastAsia"/>
                <w:sz w:val="32"/>
                <w:szCs w:val="32"/>
                <w:vertAlign w:val="baseline"/>
                <w:lang w:val="en-US" w:eastAsia="zh-CN"/>
              </w:rPr>
            </w:pPr>
            <w:r>
              <w:rPr>
                <w:rFonts w:hint="eastAsia"/>
                <w:b/>
                <w:bCs/>
                <w:sz w:val="32"/>
                <w:szCs w:val="32"/>
                <w:vertAlign w:val="baseline"/>
                <w:lang w:val="en-US" w:eastAsia="zh-CN"/>
              </w:rPr>
              <w:t>备注</w:t>
            </w:r>
          </w:p>
        </w:tc>
        <w:tc>
          <w:tcPr>
            <w:tcW w:w="7455" w:type="dxa"/>
            <w:gridSpan w:val="2"/>
          </w:tcPr>
          <w:p>
            <w:pPr>
              <w:rPr>
                <w:sz w:val="32"/>
                <w:szCs w:val="32"/>
                <w:vertAlign w:val="baseline"/>
              </w:rPr>
            </w:pPr>
          </w:p>
        </w:tc>
      </w:tr>
    </w:tbl>
    <w:p>
      <w:pPr>
        <w:ind w:firstLine="640" w:firstLineChars="200"/>
        <w:rPr>
          <w:rFonts w:hint="eastAsia" w:asciiTheme="minorEastAsia" w:hAnsiTheme="minorEastAsia" w:eastAsiaTheme="minorEastAsia" w:cstheme="minorEastAsia"/>
          <w:sz w:val="32"/>
          <w:szCs w:val="32"/>
        </w:rPr>
      </w:pPr>
      <w:bookmarkStart w:id="0" w:name="_GoBack"/>
      <w:bookmarkEnd w:id="0"/>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08C146B4"/>
    <w:rsid w:val="08C146B4"/>
    <w:rsid w:val="58B3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1482</Characters>
  <Lines>0</Lines>
  <Paragraphs>0</Paragraphs>
  <TotalTime>0</TotalTime>
  <ScaleCrop>false</ScaleCrop>
  <LinksUpToDate>false</LinksUpToDate>
  <CharactersWithSpaces>1502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2023-07-06T06:58:00Z</dcterms:created>
  <dc:creator>气定神闲</dc:creator>
  <cp:lastModifiedBy>气定神闲</cp:lastModifiedBy>
  <dcterms:modified xsi:type="dcterms:W3CDTF">2023-07-19T07:17:59Z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AFC469D985DE43AF9511E56E36E1E711_11</vt:lpwstr>
  </property>
</Properties>
</file>