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9A" w:rsidRDefault="007D759A" w:rsidP="007D759A">
      <w:pPr>
        <w:jc w:val="center"/>
        <w:rPr>
          <w:rFonts w:ascii="楷体_GB2312" w:eastAsia="楷体_GB2312" w:hAnsi="楷体_GB2312" w:cs="楷体_GB2312" w:hint="eastAsia"/>
          <w:b/>
          <w:bCs/>
          <w:sz w:val="48"/>
          <w:szCs w:val="48"/>
        </w:rPr>
      </w:pPr>
      <w:r>
        <w:rPr>
          <w:rFonts w:ascii="楷体_GB2312" w:eastAsia="楷体_GB2312" w:hAnsi="楷体_GB2312" w:cs="楷体_GB2312" w:hint="eastAsia"/>
          <w:b/>
          <w:bCs/>
          <w:sz w:val="48"/>
          <w:szCs w:val="48"/>
        </w:rPr>
        <w:t>危险源管理制度</w:t>
      </w:r>
    </w:p>
    <w:p w:rsidR="007D759A" w:rsidRDefault="007D759A" w:rsidP="007D759A">
      <w:pPr>
        <w:widowControl w:val="0"/>
        <w:spacing w:line="360" w:lineRule="exact"/>
        <w:jc w:val="center"/>
        <w:rPr>
          <w:rFonts w:ascii="楷体_GB2312" w:eastAsia="楷体_GB2312" w:hAnsi="楷体_GB2312" w:cs="楷体_GB2312" w:hint="eastAsia"/>
          <w:b/>
          <w:bCs/>
          <w:sz w:val="48"/>
          <w:szCs w:val="48"/>
        </w:rPr>
      </w:pPr>
    </w:p>
    <w:p w:rsidR="007D759A" w:rsidRDefault="007D759A" w:rsidP="007D759A">
      <w:pPr>
        <w:widowControl w:val="0"/>
        <w:spacing w:line="360" w:lineRule="exact"/>
        <w:jc w:val="center"/>
        <w:rPr>
          <w:rFonts w:ascii="楷体_GB2312" w:eastAsia="楷体_GB2312" w:hAnsi="楷体_GB2312" w:cs="楷体_GB2312" w:hint="eastAsia"/>
          <w:b/>
          <w:bCs/>
          <w:sz w:val="48"/>
          <w:szCs w:val="48"/>
        </w:rPr>
      </w:pP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一、目的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为了辨识公司范围内作业场所的危险源,规范公司危险源的安全管理,防范重大事故发生,确保公司安全生产顺利进行，保障职工生命安全和身体健康，特制定本制度。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二、适用范围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适用于公司的危险源辨识、风险评估及控制的管理工作。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三、职责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1、公司主要负责人负责组织公司重要危险源的审核与批准。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2、安全生产领导小组负责组织公司危险源的辨识及风险评估工作，对一般危险源应按照有关规定和办法处理；对重要危险源应实施控制，并上报。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3、公司各相关职能部门负责本部门危险源的辨识及风险评估工作。对一般危险源应按照有关规定和办法处理；对重要危险源应实施控制，并上报。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四、危险源控制流程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1、危险源的辨识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危险源辨识就是从企业的生产经营活动中识别出可能造成人员伤害、财产损失和环境破坏的因素，并判定其可能导致的事故类别和导致事故发生原因的过程。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（1）危险源辨识方法</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①询问和交流；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②现场观察；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③查阅有关记录；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④获取外部信息；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⑤工作任务分析；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（2）风险评价方法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①直接判定法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凡符合以下条件之一的危险源均应判定为重大危险源：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a不符合法律、法规和其他要求的；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b相关方有合理抱怨和要求的；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c曾经发生过事故，且未采取有效控制措施的；</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d直接观察到可能导致危险且无适当控制措施的；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②作业条件危险性评价法</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（1） D=L×E×C </w:t>
      </w:r>
    </w:p>
    <w:p w:rsidR="007D759A" w:rsidRDefault="007D759A" w:rsidP="007D759A">
      <w:pPr>
        <w:widowControl w:val="0"/>
        <w:numPr>
          <w:ilvl w:val="0"/>
          <w:numId w:val="1"/>
        </w:numPr>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符号D表示作业条件危险性，符号L、E、C代表危险性的</w:t>
      </w:r>
      <w:r>
        <w:rPr>
          <w:rFonts w:ascii="楷体_GB2312" w:eastAsia="楷体_GB2312" w:hAnsi="楷体_GB2312" w:cs="楷体_GB2312" w:hint="eastAsia"/>
          <w:b/>
          <w:bCs/>
          <w:sz w:val="28"/>
          <w:szCs w:val="28"/>
        </w:rPr>
        <w:lastRenderedPageBreak/>
        <w:t>三个因素。</w:t>
      </w:r>
    </w:p>
    <w:p w:rsidR="007D759A" w:rsidRDefault="007D759A" w:rsidP="007D759A">
      <w:pPr>
        <w:widowControl w:val="0"/>
        <w:numPr>
          <w:ilvl w:val="0"/>
          <w:numId w:val="1"/>
        </w:numPr>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发生事故或危险事件的可能性，用符号L表示，取值方法见表1. </w:t>
      </w:r>
    </w:p>
    <w:p w:rsidR="007D759A" w:rsidRDefault="007D759A" w:rsidP="007D759A">
      <w:pPr>
        <w:widowControl w:val="0"/>
        <w:spacing w:line="3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表1   发生危险可能性分数（L值）</w:t>
      </w:r>
    </w:p>
    <w:p w:rsidR="007D759A" w:rsidRDefault="007D759A" w:rsidP="007D759A">
      <w:pPr>
        <w:widowControl w:val="0"/>
        <w:spacing w:line="360" w:lineRule="exact"/>
        <w:jc w:val="center"/>
        <w:rPr>
          <w:rFonts w:ascii="楷体_GB2312" w:eastAsia="楷体_GB2312" w:hAnsi="楷体_GB2312" w:cs="楷体_GB2312" w:hint="eastAsia"/>
          <w:b/>
          <w:bCs/>
          <w:sz w:val="28"/>
          <w:szCs w:val="28"/>
        </w:rPr>
      </w:pPr>
    </w:p>
    <w:p w:rsidR="007D759A" w:rsidRDefault="007D759A" w:rsidP="007D759A">
      <w:pPr>
        <w:widowControl w:val="0"/>
        <w:spacing w:line="360" w:lineRule="exact"/>
        <w:jc w:val="center"/>
        <w:rPr>
          <w:rFonts w:ascii="楷体_GB2312" w:eastAsia="楷体_GB2312" w:hAnsi="楷体_GB2312" w:cs="楷体_GB2312" w:hint="eastAsia"/>
          <w:b/>
          <w:bCs/>
          <w:sz w:val="28"/>
          <w:szCs w:val="28"/>
        </w:rPr>
      </w:pPr>
    </w:p>
    <w:tbl>
      <w:tblPr>
        <w:tblStyle w:val="a5"/>
        <w:tblW w:w="0" w:type="auto"/>
        <w:tblInd w:w="0" w:type="dxa"/>
        <w:tblLayout w:type="fixed"/>
        <w:tblLook w:val="0000"/>
      </w:tblPr>
      <w:tblGrid>
        <w:gridCol w:w="1119"/>
        <w:gridCol w:w="3579"/>
        <w:gridCol w:w="2565"/>
        <w:gridCol w:w="1259"/>
      </w:tblGrid>
      <w:tr w:rsidR="007D759A" w:rsidTr="00317D5C">
        <w:tc>
          <w:tcPr>
            <w:tcW w:w="7263" w:type="dxa"/>
            <w:gridSpan w:val="3"/>
          </w:tcPr>
          <w:p w:rsidR="007D759A" w:rsidRDefault="007D759A" w:rsidP="00317D5C">
            <w:pPr>
              <w:spacing w:line="3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发生危险的可能性</w:t>
            </w:r>
          </w:p>
        </w:tc>
        <w:tc>
          <w:tcPr>
            <w:tcW w:w="1259" w:type="dxa"/>
          </w:tcPr>
          <w:p w:rsidR="007D759A" w:rsidRDefault="007D759A" w:rsidP="00317D5C">
            <w:pPr>
              <w:spacing w:line="3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分数值</w:t>
            </w:r>
          </w:p>
        </w:tc>
      </w:tr>
      <w:tr w:rsidR="007D759A" w:rsidTr="00317D5C">
        <w:tc>
          <w:tcPr>
            <w:tcW w:w="111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可能性 </w:t>
            </w:r>
          </w:p>
        </w:tc>
        <w:tc>
          <w:tcPr>
            <w:tcW w:w="357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设备、环境及管理的因素 </w:t>
            </w:r>
          </w:p>
        </w:tc>
        <w:tc>
          <w:tcPr>
            <w:tcW w:w="2565"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人的因素</w:t>
            </w:r>
          </w:p>
        </w:tc>
        <w:tc>
          <w:tcPr>
            <w:tcW w:w="1259" w:type="dxa"/>
          </w:tcPr>
          <w:p w:rsidR="007D759A" w:rsidRDefault="007D759A" w:rsidP="00317D5C">
            <w:pPr>
              <w:spacing w:line="360" w:lineRule="exact"/>
              <w:rPr>
                <w:rFonts w:ascii="楷体_GB2312" w:eastAsia="楷体_GB2312" w:hAnsi="楷体_GB2312" w:cs="楷体_GB2312" w:hint="eastAsia"/>
                <w:b/>
                <w:bCs/>
                <w:sz w:val="21"/>
                <w:szCs w:val="21"/>
              </w:rPr>
            </w:pPr>
          </w:p>
        </w:tc>
      </w:tr>
      <w:tr w:rsidR="007D759A" w:rsidTr="00317D5C">
        <w:tc>
          <w:tcPr>
            <w:tcW w:w="111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极可能</w:t>
            </w:r>
          </w:p>
        </w:tc>
        <w:tc>
          <w:tcPr>
            <w:tcW w:w="357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无安全控制设施，无管理控制措施，无法避免事故的发生。</w:t>
            </w:r>
          </w:p>
        </w:tc>
        <w:tc>
          <w:tcPr>
            <w:tcW w:w="2565"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经常发生习惯性违章作业或无证作业、酒后作业 </w:t>
            </w:r>
          </w:p>
        </w:tc>
        <w:tc>
          <w:tcPr>
            <w:tcW w:w="125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10 </w:t>
            </w:r>
          </w:p>
          <w:p w:rsidR="007D759A" w:rsidRDefault="007D759A" w:rsidP="00317D5C">
            <w:pPr>
              <w:spacing w:line="360" w:lineRule="exact"/>
              <w:rPr>
                <w:rFonts w:ascii="楷体_GB2312" w:eastAsia="楷体_GB2312" w:hAnsi="楷体_GB2312" w:cs="楷体_GB2312" w:hint="eastAsia"/>
                <w:b/>
                <w:bCs/>
                <w:sz w:val="21"/>
                <w:szCs w:val="21"/>
              </w:rPr>
            </w:pPr>
          </w:p>
        </w:tc>
      </w:tr>
      <w:tr w:rsidR="007D759A" w:rsidTr="00317D5C">
        <w:tc>
          <w:tcPr>
            <w:tcW w:w="111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较可能</w:t>
            </w:r>
          </w:p>
        </w:tc>
        <w:tc>
          <w:tcPr>
            <w:tcW w:w="357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无安全控制设施，但有管理控制措施或在同类作业中发生过多起事故，无法有效避免事故的发生。</w:t>
            </w:r>
          </w:p>
        </w:tc>
        <w:tc>
          <w:tcPr>
            <w:tcW w:w="2565"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在缺少监督的情况下时常发生违章作业或疲劳作业 </w:t>
            </w:r>
          </w:p>
        </w:tc>
        <w:tc>
          <w:tcPr>
            <w:tcW w:w="1259"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6 </w:t>
            </w:r>
          </w:p>
          <w:p w:rsidR="007D759A" w:rsidRDefault="007D759A" w:rsidP="00317D5C">
            <w:pPr>
              <w:spacing w:line="360" w:lineRule="exact"/>
              <w:rPr>
                <w:rFonts w:ascii="楷体_GB2312" w:eastAsia="楷体_GB2312" w:hAnsi="楷体_GB2312" w:cs="楷体_GB2312" w:hint="eastAsia"/>
                <w:b/>
                <w:bCs/>
                <w:sz w:val="21"/>
                <w:szCs w:val="21"/>
              </w:rPr>
            </w:pPr>
          </w:p>
        </w:tc>
      </w:tr>
      <w:tr w:rsidR="007D759A" w:rsidTr="00317D5C">
        <w:tc>
          <w:tcPr>
            <w:tcW w:w="111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8"/>
                <w:szCs w:val="28"/>
              </w:rPr>
              <w:t>可能 </w:t>
            </w:r>
          </w:p>
        </w:tc>
        <w:tc>
          <w:tcPr>
            <w:tcW w:w="357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安全控制设施不全，有管理控制措施或在同类作业中三年内曾经发生过事故或事件，无法有效杜绝事故的发生。</w:t>
            </w:r>
          </w:p>
        </w:tc>
        <w:tc>
          <w:tcPr>
            <w:tcW w:w="2565"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 在生产作业节奏较快情况下，偶尔发生的违章作业或操作不熟练 </w:t>
            </w:r>
          </w:p>
        </w:tc>
        <w:tc>
          <w:tcPr>
            <w:tcW w:w="1259"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3 </w:t>
            </w:r>
          </w:p>
          <w:p w:rsidR="007D759A" w:rsidRDefault="007D759A" w:rsidP="00317D5C">
            <w:pPr>
              <w:spacing w:line="360" w:lineRule="exact"/>
              <w:rPr>
                <w:rFonts w:ascii="楷体_GB2312" w:eastAsia="楷体_GB2312" w:hAnsi="楷体_GB2312" w:cs="楷体_GB2312" w:hint="eastAsia"/>
                <w:b/>
                <w:bCs/>
                <w:sz w:val="21"/>
                <w:szCs w:val="21"/>
              </w:rPr>
            </w:pPr>
          </w:p>
        </w:tc>
      </w:tr>
      <w:tr w:rsidR="007D759A" w:rsidTr="00317D5C">
        <w:tc>
          <w:tcPr>
            <w:tcW w:w="111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较少可能 </w:t>
            </w:r>
          </w:p>
        </w:tc>
        <w:tc>
          <w:tcPr>
            <w:tcW w:w="357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本质安全化控制设施不全，有管理控制措施和有效的异常报警、监测手段，能预测事故的发生或在同类作业中曾经发生过事故、事件</w:t>
            </w:r>
          </w:p>
        </w:tc>
        <w:tc>
          <w:tcPr>
            <w:tcW w:w="2565"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因健康或环境等特</w:t>
            </w:r>
          </w:p>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殊原因造成的偶尔</w:t>
            </w:r>
          </w:p>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失误或误操作 </w:t>
            </w:r>
          </w:p>
          <w:p w:rsidR="007D759A" w:rsidRDefault="007D759A" w:rsidP="00317D5C">
            <w:pPr>
              <w:spacing w:line="360" w:lineRule="exact"/>
              <w:rPr>
                <w:rFonts w:ascii="楷体_GB2312" w:eastAsia="楷体_GB2312" w:hAnsi="楷体_GB2312" w:cs="楷体_GB2312" w:hint="eastAsia"/>
                <w:b/>
                <w:bCs/>
                <w:sz w:val="21"/>
                <w:szCs w:val="21"/>
              </w:rPr>
            </w:pPr>
          </w:p>
        </w:tc>
        <w:tc>
          <w:tcPr>
            <w:tcW w:w="125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1</w:t>
            </w:r>
          </w:p>
        </w:tc>
      </w:tr>
      <w:tr w:rsidR="007D759A" w:rsidTr="00317D5C">
        <w:tc>
          <w:tcPr>
            <w:tcW w:w="111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不可能 </w:t>
            </w:r>
          </w:p>
        </w:tc>
        <w:tc>
          <w:tcPr>
            <w:tcW w:w="6144" w:type="dxa"/>
            <w:gridSpan w:val="2"/>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安全控制设施齐全有效，实现设备本质安全化，在误操作情况下能避免人员伤害，有效杜绝事故发生。</w:t>
            </w:r>
          </w:p>
        </w:tc>
        <w:tc>
          <w:tcPr>
            <w:tcW w:w="1259" w:type="dxa"/>
          </w:tcPr>
          <w:p w:rsidR="007D759A" w:rsidRDefault="007D759A" w:rsidP="00317D5C">
            <w:pPr>
              <w:spacing w:line="360" w:lineRule="exact"/>
              <w:rPr>
                <w:rFonts w:ascii="楷体_GB2312" w:eastAsia="楷体_GB2312" w:hAnsi="楷体_GB2312" w:cs="楷体_GB2312" w:hint="eastAsia"/>
                <w:b/>
                <w:bCs/>
                <w:sz w:val="21"/>
                <w:szCs w:val="21"/>
              </w:rPr>
            </w:pPr>
            <w:r>
              <w:rPr>
                <w:rFonts w:ascii="楷体_GB2312" w:eastAsia="楷体_GB2312" w:hAnsi="楷体_GB2312" w:cs="楷体_GB2312" w:hint="eastAsia"/>
                <w:b/>
                <w:bCs/>
                <w:sz w:val="21"/>
                <w:szCs w:val="21"/>
              </w:rPr>
              <w:t>0.1</w:t>
            </w:r>
          </w:p>
          <w:p w:rsidR="007D759A" w:rsidRDefault="007D759A" w:rsidP="00317D5C">
            <w:pPr>
              <w:spacing w:line="360" w:lineRule="exact"/>
              <w:rPr>
                <w:rFonts w:ascii="楷体_GB2312" w:eastAsia="楷体_GB2312" w:hAnsi="楷体_GB2312" w:cs="楷体_GB2312" w:hint="eastAsia"/>
                <w:b/>
                <w:bCs/>
                <w:sz w:val="21"/>
                <w:szCs w:val="21"/>
              </w:rPr>
            </w:pPr>
          </w:p>
        </w:tc>
      </w:tr>
    </w:tbl>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（4）人出现在这种危险环境的时间，用符号E表示，取值方法见表2。 </w:t>
      </w:r>
    </w:p>
    <w:p w:rsidR="007D759A" w:rsidRDefault="007D759A" w:rsidP="007D759A">
      <w:pPr>
        <w:widowControl w:val="0"/>
        <w:spacing w:line="3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表2  出现于危险环境中的分数（E值）</w:t>
      </w:r>
    </w:p>
    <w:tbl>
      <w:tblPr>
        <w:tblStyle w:val="a5"/>
        <w:tblW w:w="0" w:type="auto"/>
        <w:tblInd w:w="0" w:type="dxa"/>
        <w:tblLayout w:type="fixed"/>
        <w:tblLook w:val="0000"/>
      </w:tblPr>
      <w:tblGrid>
        <w:gridCol w:w="4870"/>
        <w:gridCol w:w="1283"/>
      </w:tblGrid>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出现于危险环境的情况</w:t>
            </w:r>
          </w:p>
        </w:tc>
        <w:tc>
          <w:tcPr>
            <w:tcW w:w="1283"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分数值</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连续处于危险环境中</w:t>
            </w:r>
          </w:p>
        </w:tc>
        <w:tc>
          <w:tcPr>
            <w:tcW w:w="1283"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10</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每天在有危险的环境中工作</w:t>
            </w:r>
          </w:p>
        </w:tc>
        <w:tc>
          <w:tcPr>
            <w:tcW w:w="1283"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6</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每周一次出现于危险环境中</w:t>
            </w:r>
          </w:p>
        </w:tc>
        <w:tc>
          <w:tcPr>
            <w:tcW w:w="1283"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3</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每月一次</w:t>
            </w:r>
          </w:p>
        </w:tc>
        <w:tc>
          <w:tcPr>
            <w:tcW w:w="1283"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2</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每年一次</w:t>
            </w:r>
          </w:p>
        </w:tc>
        <w:tc>
          <w:tcPr>
            <w:tcW w:w="1283"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1</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几年一次出现在危险环境中</w:t>
            </w:r>
          </w:p>
        </w:tc>
        <w:tc>
          <w:tcPr>
            <w:tcW w:w="1283"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0.5</w:t>
            </w:r>
          </w:p>
        </w:tc>
      </w:tr>
    </w:tbl>
    <w:p w:rsidR="007D759A" w:rsidRDefault="007D759A" w:rsidP="007D759A">
      <w:pPr>
        <w:widowControl w:val="0"/>
        <w:spacing w:line="360" w:lineRule="exact"/>
        <w:rPr>
          <w:rFonts w:ascii="楷体_GB2312" w:eastAsia="楷体_GB2312" w:hAnsi="楷体_GB2312" w:cs="楷体_GB2312" w:hint="eastAsia"/>
          <w:b/>
          <w:bCs/>
          <w:sz w:val="22"/>
          <w:szCs w:val="22"/>
        </w:rPr>
      </w:pPr>
      <w:r>
        <w:rPr>
          <w:rFonts w:ascii="楷体_GB2312" w:eastAsia="楷体_GB2312" w:hAnsi="楷体_GB2312" w:cs="楷体_GB2312" w:hint="eastAsia"/>
          <w:b/>
          <w:bCs/>
          <w:sz w:val="22"/>
          <w:szCs w:val="22"/>
        </w:rPr>
        <w:t>注：① 当人出现于危险情况中的时间E越长，危险性越大。 </w:t>
      </w:r>
    </w:p>
    <w:p w:rsidR="007D759A" w:rsidRDefault="007D759A" w:rsidP="007D759A">
      <w:pPr>
        <w:widowControl w:val="0"/>
        <w:spacing w:line="360" w:lineRule="exact"/>
        <w:rPr>
          <w:rFonts w:ascii="楷体_GB2312" w:eastAsia="楷体_GB2312" w:hAnsi="楷体_GB2312" w:cs="楷体_GB2312" w:hint="eastAsia"/>
          <w:b/>
          <w:bCs/>
          <w:sz w:val="22"/>
          <w:szCs w:val="22"/>
        </w:rPr>
      </w:pPr>
      <w:r>
        <w:rPr>
          <w:rFonts w:ascii="楷体_GB2312" w:eastAsia="楷体_GB2312" w:hAnsi="楷体_GB2312" w:cs="楷体_GB2312" w:hint="eastAsia"/>
          <w:b/>
          <w:bCs/>
          <w:sz w:val="22"/>
          <w:szCs w:val="22"/>
        </w:rPr>
        <w:t xml:space="preserve">    ②E值取值时，如果实际情况界于两档之间，按照上限取值。</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（5）发生事故可能产生的后果，用符合C表示，取值方法见表3。 </w:t>
      </w:r>
    </w:p>
    <w:p w:rsidR="007D759A" w:rsidRDefault="007D759A" w:rsidP="007D759A">
      <w:pPr>
        <w:widowControl w:val="0"/>
        <w:spacing w:line="360" w:lineRule="exact"/>
        <w:jc w:val="center"/>
        <w:rPr>
          <w:rFonts w:ascii="楷体_GB2312" w:eastAsia="楷体_GB2312" w:hAnsi="楷体_GB2312" w:cs="楷体_GB2312" w:hint="eastAsia"/>
          <w:b/>
          <w:bCs/>
          <w:sz w:val="28"/>
          <w:szCs w:val="28"/>
        </w:rPr>
      </w:pPr>
    </w:p>
    <w:p w:rsidR="007D759A" w:rsidRDefault="007D759A" w:rsidP="007D759A">
      <w:pPr>
        <w:widowControl w:val="0"/>
        <w:spacing w:line="3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表3  事故发生后可能结果的分数（C值）</w:t>
      </w:r>
    </w:p>
    <w:p w:rsidR="007D759A" w:rsidRDefault="007D759A" w:rsidP="007D759A">
      <w:pPr>
        <w:widowControl w:val="0"/>
        <w:spacing w:line="360" w:lineRule="exact"/>
        <w:rPr>
          <w:rFonts w:ascii="楷体_GB2312" w:eastAsia="楷体_GB2312" w:hAnsi="楷体_GB2312" w:cs="楷体_GB2312" w:hint="eastAsia"/>
          <w:b/>
          <w:bCs/>
          <w:sz w:val="28"/>
          <w:szCs w:val="28"/>
        </w:rPr>
      </w:pPr>
    </w:p>
    <w:tbl>
      <w:tblPr>
        <w:tblStyle w:val="a5"/>
        <w:tblW w:w="0" w:type="auto"/>
        <w:tblInd w:w="0" w:type="dxa"/>
        <w:tblLayout w:type="fixed"/>
        <w:tblLook w:val="0000"/>
      </w:tblPr>
      <w:tblGrid>
        <w:gridCol w:w="4870"/>
        <w:gridCol w:w="4870"/>
      </w:tblGrid>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可能结果</w:t>
            </w:r>
          </w:p>
        </w:t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分数值</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大灾难（10人及以上死亡）</w:t>
            </w:r>
          </w:p>
        </w:t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100 </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灾难（3人及以上死亡） </w:t>
            </w:r>
          </w:p>
        </w:t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40 </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非常严重（1人及以上死亡）</w:t>
            </w:r>
          </w:p>
        </w:t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15 </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重伤 </w:t>
            </w:r>
          </w:p>
        </w:t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7 </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职业病 </w:t>
            </w:r>
          </w:p>
        </w:t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5 </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轻伤 </w:t>
            </w:r>
          </w:p>
        </w:t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3 </w:t>
            </w:r>
          </w:p>
        </w:tc>
      </w:tr>
      <w:tr w:rsidR="007D759A" w:rsidTr="00317D5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微伤</w:t>
            </w:r>
          </w:p>
        </w:tc>
        <w:tc>
          <w:tcPr>
            <w:tcW w:w="487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1</w:t>
            </w:r>
          </w:p>
        </w:tc>
      </w:tr>
    </w:tbl>
    <w:p w:rsidR="007D759A" w:rsidRDefault="007D759A" w:rsidP="007D759A">
      <w:pPr>
        <w:widowControl w:val="0"/>
        <w:spacing w:line="360" w:lineRule="exact"/>
        <w:jc w:val="center"/>
        <w:rPr>
          <w:rFonts w:ascii="楷体_GB2312" w:eastAsia="楷体_GB2312" w:hAnsi="楷体_GB2312" w:cs="楷体_GB2312" w:hint="eastAsia"/>
          <w:b/>
          <w:bCs/>
          <w:sz w:val="28"/>
          <w:szCs w:val="28"/>
        </w:rPr>
      </w:pPr>
    </w:p>
    <w:p w:rsidR="007D759A" w:rsidRDefault="007D759A" w:rsidP="007D759A">
      <w:pPr>
        <w:widowControl w:val="0"/>
        <w:spacing w:line="360" w:lineRule="exact"/>
        <w:jc w:val="center"/>
        <w:rPr>
          <w:rFonts w:ascii="楷体_GB2312" w:eastAsia="楷体_GB2312" w:hAnsi="楷体_GB2312" w:cs="楷体_GB2312" w:hint="eastAsia"/>
          <w:b/>
          <w:bCs/>
          <w:sz w:val="28"/>
          <w:szCs w:val="28"/>
        </w:rPr>
      </w:pPr>
    </w:p>
    <w:p w:rsidR="007D759A" w:rsidRDefault="007D759A" w:rsidP="007D759A">
      <w:pPr>
        <w:widowControl w:val="0"/>
        <w:spacing w:line="3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表4  危险性等级分数（D值）</w:t>
      </w:r>
    </w:p>
    <w:tbl>
      <w:tblPr>
        <w:tblStyle w:val="a5"/>
        <w:tblW w:w="0" w:type="auto"/>
        <w:tblInd w:w="0" w:type="dxa"/>
        <w:tblLayout w:type="fixed"/>
        <w:tblLook w:val="0000"/>
      </w:tblPr>
      <w:tblGrid>
        <w:gridCol w:w="1518"/>
        <w:gridCol w:w="5880"/>
        <w:gridCol w:w="2342"/>
      </w:tblGrid>
      <w:tr w:rsidR="007D759A" w:rsidTr="00317D5C">
        <w:tc>
          <w:tcPr>
            <w:tcW w:w="1518"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D值 </w:t>
            </w:r>
          </w:p>
        </w:tc>
        <w:tc>
          <w:tcPr>
            <w:tcW w:w="588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危险程度</w:t>
            </w:r>
          </w:p>
        </w:tc>
        <w:tc>
          <w:tcPr>
            <w:tcW w:w="2342"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风险等级 </w:t>
            </w:r>
          </w:p>
        </w:tc>
      </w:tr>
      <w:tr w:rsidR="007D759A" w:rsidTr="00317D5C">
        <w:tc>
          <w:tcPr>
            <w:tcW w:w="1518"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＞320</w:t>
            </w:r>
          </w:p>
        </w:tc>
        <w:tc>
          <w:tcPr>
            <w:tcW w:w="588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极其危险，不能继续作业</w:t>
            </w:r>
          </w:p>
        </w:tc>
        <w:tc>
          <w:tcPr>
            <w:tcW w:w="2342"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Ⅰ </w:t>
            </w:r>
          </w:p>
        </w:tc>
      </w:tr>
      <w:tr w:rsidR="007D759A" w:rsidTr="00317D5C">
        <w:tc>
          <w:tcPr>
            <w:tcW w:w="1518"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160～320</w:t>
            </w:r>
          </w:p>
        </w:tc>
        <w:tc>
          <w:tcPr>
            <w:tcW w:w="588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高度危险，要立即整改</w:t>
            </w:r>
          </w:p>
        </w:tc>
        <w:tc>
          <w:tcPr>
            <w:tcW w:w="2342"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Ⅱ</w:t>
            </w:r>
          </w:p>
        </w:tc>
      </w:tr>
      <w:tr w:rsidR="007D759A" w:rsidTr="00317D5C">
        <w:tc>
          <w:tcPr>
            <w:tcW w:w="1518"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70～160 </w:t>
            </w:r>
          </w:p>
        </w:tc>
        <w:tc>
          <w:tcPr>
            <w:tcW w:w="588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显著危险，需要整改</w:t>
            </w:r>
          </w:p>
        </w:tc>
        <w:tc>
          <w:tcPr>
            <w:tcW w:w="2342"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Ⅲ</w:t>
            </w:r>
          </w:p>
        </w:tc>
      </w:tr>
      <w:tr w:rsidR="007D759A" w:rsidTr="00317D5C">
        <w:tc>
          <w:tcPr>
            <w:tcW w:w="1518"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20～70 </w:t>
            </w:r>
          </w:p>
        </w:tc>
        <w:tc>
          <w:tcPr>
            <w:tcW w:w="588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一般危险，需要注意</w:t>
            </w:r>
          </w:p>
        </w:tc>
        <w:tc>
          <w:tcPr>
            <w:tcW w:w="2342"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Ⅳ</w:t>
            </w:r>
          </w:p>
        </w:tc>
      </w:tr>
      <w:tr w:rsidR="007D759A" w:rsidTr="00317D5C">
        <w:tc>
          <w:tcPr>
            <w:tcW w:w="1518"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＜20 </w:t>
            </w:r>
          </w:p>
        </w:tc>
        <w:tc>
          <w:tcPr>
            <w:tcW w:w="5880"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稍有危险，可以接受</w:t>
            </w:r>
          </w:p>
        </w:tc>
        <w:tc>
          <w:tcPr>
            <w:tcW w:w="2342" w:type="dxa"/>
          </w:tcPr>
          <w:p w:rsidR="007D759A" w:rsidRDefault="007D759A" w:rsidP="00317D5C">
            <w:pPr>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Ⅴ</w:t>
            </w:r>
          </w:p>
        </w:tc>
      </w:tr>
    </w:tbl>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（3）危险源辨识范围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工作环境：包括周围环境、工程地质、地形、自然灾害、气象条件、资源交通、抢险救灾支持条件等；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平面布局：功能分区（生产、管理、辅助生产、生活区）；高温、有害物质、噪声、辐射、易燃、易爆、危险品设施布置；建筑物、构筑物布置；风向、安全距离、卫生防护距离等；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运输路线：施工便道、各施工作业区、作业面、作业点的贯通道路以及与外界联系的交通路线等；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施工工序：物资特性（毒性、腐蚀性、燃爆性）温度、压力、速度、作业及控制条件、事故及失控状态；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危险性较大设备和高处作业设备：如提升、起重设备等；  施工机具、设备：高温、低温、腐蚀、高压、振动、关键部位的备用设备、控制、操作、检修和故障、失误时的紧急异常情况；机械设备的运动部件和工件、操作条件、检修作业、误运转和误操作；电气设备的断电、触电、火灾、爆炸、误运转和误操作，静电、雷电；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特殊装置、设备：锅炉房、危险品库房等；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有害作业部位：粉尘、毒物、噪声、振动、辐射、高温、低温等；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各种设施：管理设施（指挥机关等）、事故应急抢救设施（医院卫生所等）、辅助生产、生活设施等；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lastRenderedPageBreak/>
        <w:t>（4）危险源辨识、风险评估及控制流程      </w:t>
      </w:r>
    </w:p>
    <w:p w:rsidR="007D759A" w:rsidRDefault="007D759A" w:rsidP="007D759A">
      <w:pPr>
        <w:widowControl w:val="0"/>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w:t>
      </w:r>
      <w:r>
        <w:rPr>
          <w:rFonts w:ascii="楷体_GB2312" w:eastAsia="楷体_GB2312" w:hAnsi="楷体_GB2312" w:cs="楷体_GB2312" w:hint="eastAsia"/>
          <w:b/>
          <w:bCs/>
          <w:noProof/>
          <w:sz w:val="28"/>
          <w:szCs w:val="28"/>
        </w:rPr>
        <w:drawing>
          <wp:inline distT="0" distB="0" distL="0" distR="0">
            <wp:extent cx="4762500" cy="4924425"/>
            <wp:effectExtent l="19050" t="0" r="0" b="0"/>
            <wp:docPr id="1" name="图片 1" descr="QQ截图2014112115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截图20141121153453"/>
                    <pic:cNvPicPr>
                      <a:picLocks noChangeAspect="1" noChangeArrowheads="1"/>
                    </pic:cNvPicPr>
                  </pic:nvPicPr>
                  <pic:blipFill>
                    <a:blip r:embed="rId7"/>
                    <a:srcRect/>
                    <a:stretch>
                      <a:fillRect/>
                    </a:stretch>
                  </pic:blipFill>
                  <pic:spPr bwMode="auto">
                    <a:xfrm>
                      <a:off x="0" y="0"/>
                      <a:ext cx="4762500" cy="4924425"/>
                    </a:xfrm>
                    <a:prstGeom prst="rect">
                      <a:avLst/>
                    </a:prstGeom>
                    <a:noFill/>
                    <a:ln w="9525" cmpd="sng">
                      <a:noFill/>
                      <a:miter lim="800000"/>
                      <a:headEnd/>
                      <a:tailEnd/>
                    </a:ln>
                  </pic:spPr>
                </pic:pic>
              </a:graphicData>
            </a:graphic>
          </wp:inline>
        </w:drawing>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2、危险源的控制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1）控制原则：针对评价出的重要危险源必须由分管安全领导组织有关人员制定控制管理方案，并辅助制定运行控制程序，必要时包括应急程序。对一般危险，主要进行员工安全意识方面的培训教育，主动消除问题，考虑其实际控制效果可制定目标、管理方案，但必须明确运行控制程序要求，必要时包括应急程序。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（2）制定管理方案应遵循的顺序和原则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①尽可能地消除风险；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②尽可能地预防风险；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③尽可能地减小风险；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④隔离风险；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⑤连续控制风险；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⑥警告提示预防风险。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（3）制定管理方案时应考虑以下几个方面的措施：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①改进生产工艺，减轻员工劳动强度，消除人身伤害危险；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lastRenderedPageBreak/>
        <w:t>②设置防护装置、保险装置、及危险标示和识别标示，杜绝和减少风险；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③做好电气安全工作：防止触电，做好漏电保护，绝缘，电气隔离，安全电压，屏护和安全距离，连锁保护，电气防爆，防静电等；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④机械设备的维护保养和检修等；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⑤防止职业病，采用有效措施，避免和减少操作人员在作业过程中直接接触有害因素的设备和物料；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⑥上述方面都难以实施时，采用个体防护用品防护。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（4）管理控制方案制定后，应由生产科对生产作业人员进行技术交底。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（5）管理控制方案制定后要进行评审，确保不再发生新的危险源。在实施过程中，实施负责人要始终进行监视和测量，并做好记录。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（6）生产科要对生产作业中的危险源经常监管，并进行评价，实施动态控制。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五、危险源辨识及评估的回顾</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公司每年定期对已经辨识、评估的危险源进行回顾，分析其控制措施的有效性，对控制措施失效或已有更好控制措施的项目重新进行辨识和评估，并制定有效的控制措施。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六、危险源辨识及评估的持续改进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遇下述情况，应及时进行危险源辨识与风险评价工作。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1、组织的活动发生变化；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2、法律、法规和其它要求发生变化；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3、内审、外审及管理评审提出要求；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4、出现事故、事件、不符合；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5、生产工艺发生大的变化；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6、公司的生产、产品发生较大变化(如采用新工艺、新设备，开发新产品等)；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7、相关方抱怨或提出要求；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8、设备、设施发生较大变化； </w:t>
      </w:r>
    </w:p>
    <w:p w:rsidR="007D759A" w:rsidRDefault="007D759A" w:rsidP="007D759A">
      <w:pPr>
        <w:widowControl w:val="0"/>
        <w:spacing w:line="360" w:lineRule="exact"/>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9、其它情况需要。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七、记录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1、《危险源辨识表》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2、《生产过程危险源辨识风险控制表》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3、《生产现场危险源辨识风险控制表》 </w:t>
      </w:r>
    </w:p>
    <w:p w:rsidR="007D759A" w:rsidRDefault="007D759A" w:rsidP="007D759A">
      <w:pPr>
        <w:widowControl w:val="0"/>
        <w:spacing w:line="360" w:lineRule="exact"/>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4、《危险源统计表》 </w:t>
      </w:r>
    </w:p>
    <w:p w:rsidR="002973C6" w:rsidRPr="007D759A" w:rsidRDefault="002973C6" w:rsidP="007D759A"/>
    <w:sectPr w:rsidR="002973C6" w:rsidRPr="007D75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3C6" w:rsidRDefault="002973C6" w:rsidP="007D759A">
      <w:r>
        <w:separator/>
      </w:r>
    </w:p>
  </w:endnote>
  <w:endnote w:type="continuationSeparator" w:id="1">
    <w:p w:rsidR="002973C6" w:rsidRDefault="002973C6" w:rsidP="007D7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3C6" w:rsidRDefault="002973C6" w:rsidP="007D759A">
      <w:r>
        <w:separator/>
      </w:r>
    </w:p>
  </w:footnote>
  <w:footnote w:type="continuationSeparator" w:id="1">
    <w:p w:rsidR="002973C6" w:rsidRDefault="002973C6" w:rsidP="007D7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EFA87"/>
    <w:multiLevelType w:val="singleLevel"/>
    <w:tmpl w:val="546EFA87"/>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759A"/>
    <w:rsid w:val="002973C6"/>
    <w:rsid w:val="007D7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9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7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759A"/>
    <w:rPr>
      <w:sz w:val="18"/>
      <w:szCs w:val="18"/>
    </w:rPr>
  </w:style>
  <w:style w:type="paragraph" w:styleId="a4">
    <w:name w:val="footer"/>
    <w:basedOn w:val="a"/>
    <w:link w:val="Char0"/>
    <w:uiPriority w:val="99"/>
    <w:semiHidden/>
    <w:unhideWhenUsed/>
    <w:rsid w:val="007D75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759A"/>
    <w:rPr>
      <w:sz w:val="18"/>
      <w:szCs w:val="18"/>
    </w:rPr>
  </w:style>
  <w:style w:type="table" w:styleId="a5">
    <w:name w:val="Table Grid"/>
    <w:basedOn w:val="a1"/>
    <w:uiPriority w:val="99"/>
    <w:unhideWhenUsed/>
    <w:rsid w:val="007D759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D759A"/>
    <w:rPr>
      <w:sz w:val="18"/>
      <w:szCs w:val="18"/>
    </w:rPr>
  </w:style>
  <w:style w:type="character" w:customStyle="1" w:styleId="Char1">
    <w:name w:val="批注框文本 Char"/>
    <w:basedOn w:val="a0"/>
    <w:link w:val="a6"/>
    <w:uiPriority w:val="99"/>
    <w:semiHidden/>
    <w:rsid w:val="007D759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479</Words>
  <Characters>2731</Characters>
  <Application>Microsoft Office Word</Application>
  <DocSecurity>0</DocSecurity>
  <Lines>22</Lines>
  <Paragraphs>6</Paragraphs>
  <ScaleCrop>false</ScaleCrop>
  <Company>微软中国</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2023-07-12T02:29:00Z</dcterms:created>
  <dcterms:modified xsi:type="dcterms:W3CDTF">2023-07-12T02:29:00Z</dcterms:modified>
</cp:coreProperties>
</file>