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</w:rPr>
        <w:t>安全环保检查制度</w:t>
      </w:r>
    </w:p>
    <w:p>
      <w:pPr>
        <w:spacing w:line="600" w:lineRule="exact"/>
        <w:ind w:firstLine="880" w:firstLineChars="200"/>
        <w:jc w:val="left"/>
        <w:rPr>
          <w:rFonts w:hint="default" w:ascii="Times New Roman" w:hAnsi="Times New Roman" w:eastAsia="楷体_GB2312" w:cs="Times New Roman"/>
          <w:sz w:val="44"/>
          <w:szCs w:val="44"/>
        </w:rPr>
      </w:pP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第一条 总则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安全环保法律法规，全面落实安全生产、环境保护责任，规范各类安全生产和环境保护行为，保障劳动者在劳动过程中的生命安全和身体健康，实现安全环保管理目标，确保顺利推进各项任务，特制定本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中华人民共和国安全生产法》、《中华人民共和国环境保护法》《四川省安全生产条例》《四川省环境保护条例》《四川省生产经营单位安全生产责任规定》《四川省滨水城乡有限责任公司安全生产管理办法》等安全环保法律法规及规定，结合四川阆中水城农业发展有限公司（以下简称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公司”）实际，制定本制度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本制度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对安全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环保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检查的基本内容、基本方式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和检查时间进行了明确，适用于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公司的安全环保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督查工作。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第二条 检查形式及内容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公司安全环保检查。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1.综合安全环保检查，主要负责人亲自参与的，每季度不少于一次，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由安全环保部或分管安全环保副总经理组织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部门每月开展一次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业务范围的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综合性安全环保检查。内容包括：查上级安全环保工作部署贯彻落实情况、查制度、查机械设备、查安全设施、查安全环保教育、查违章行为、查劳动防护用品使用情况；</w:t>
      </w:r>
    </w:p>
    <w:p>
      <w:pPr>
        <w:pStyle w:val="6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中水城公司根据需要，由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安全环保部或分管安全环保副总经理牵头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，不定期组织安全环保专题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，及时传达贯彻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上级关于安全环保工作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的相关要求；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安全环保部会同业务部门开展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重要节假日安全检查、节前安全隐患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应急准备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排查、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季节性安全环保检查。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专业性的安全环保检查。由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分管安全副总经理牵头，业务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部门、安全环保管理部门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，每年不少于2次。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1.安全环保部对消防设备、器材进行检查；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2.建设管理部对特种及电器设备、设施、防雷装置、承建单位等进行安全检查；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部对运营项目、承租承包单位进行安全检查；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.综合管理办公室部对厨房、租赁物、物业项目安全情况进行检查。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部门安全环保检查由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部门负责人组织有关人员参加，对所管理的业务范围进行安全生产、环境保护、消防、设备设施等检查。并对管理的业务范围的安全生产、环境保护进行日常巡查。</w:t>
      </w: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相关检查可合并进行，比如季度检查正值节前，可合并进行。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第三条 检查要求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对查出的隐患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业务部门负责落实整改排除隐患，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按“五定”原则即定整改责任人、定整改措施、定整改完成时间、定整改完成人、定整改验收人，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安全环保部履行监督指着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公司安全环保检查记录、部门安全环保检查记录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应在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安全环保管理部门备案。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GU1YTYyZWM2YTk0ODU4OTU5Njk1NTUzMWYxY2QifQ=="/>
  </w:docVars>
  <w:rsids>
    <w:rsidRoot w:val="3F5E2371"/>
    <w:rsid w:val="3F5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widowControl/>
      <w:spacing w:line="600" w:lineRule="exact"/>
      <w:outlineLvl w:val="1"/>
    </w:pPr>
    <w:rPr>
      <w:rFonts w:ascii="黑体" w:hAnsi="黑体" w:eastAsia="黑体" w:cs="宋体"/>
      <w:kern w:val="0"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600" w:lineRule="exact"/>
    </w:pPr>
    <w:rPr>
      <w:rFonts w:eastAsia="仿宋_GB2312"/>
      <w:color w:val="000000"/>
      <w:sz w:val="32"/>
      <w:szCs w:val="32"/>
    </w:rPr>
  </w:style>
  <w:style w:type="paragraph" w:styleId="3">
    <w:name w:val="Body Text First Indent 2"/>
    <w:basedOn w:val="4"/>
    <w:next w:val="2"/>
    <w:unhideWhenUsed/>
    <w:qFormat/>
    <w:uiPriority w:val="99"/>
    <w:pPr>
      <w:ind w:firstLine="420"/>
    </w:pPr>
  </w:style>
  <w:style w:type="paragraph" w:styleId="4">
    <w:name w:val="Body Text Indent"/>
    <w:basedOn w:val="1"/>
    <w:qFormat/>
    <w:uiPriority w:val="0"/>
    <w:pPr>
      <w:widowControl/>
      <w:adjustRightInd w:val="0"/>
      <w:spacing w:line="600" w:lineRule="exact"/>
      <w:ind w:firstLine="200" w:firstLineChars="200"/>
      <w:jc w:val="left"/>
    </w:pPr>
    <w:rPr>
      <w:rFonts w:eastAsia="仿宋_GB2312"/>
      <w:sz w:val="32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2023-05-31T09:22:00Z</dcterms:created>
  <dc:creator>唐三岁</dc:creator>
  <cp:lastModifiedBy>唐三岁</cp:lastModifiedBy>
  <dcterms:modified xsi:type="dcterms:W3CDTF">2023-05-31T09:23:06Z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EE71C6FF435545619A492840E6033C44_11</vt:lpwstr>
  </property>
</Properties>
</file>