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</w:pPr>
      <w:bookmarkStart w:id="0" w:name="_Toc31254_WPSOffice_Level1"/>
      <w:bookmarkStart w:id="1" w:name="_Toc365276314"/>
      <w:r>
        <w:rPr>
          <w:rFonts w:hint="eastAsia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142"/>
          <w:tab w:val="left" w:pos="8222"/>
          <w:tab w:val="clear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142"/>
          <w:tab w:val="left" w:pos="8222"/>
          <w:tab w:val="clear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物〔20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〕号                   签发人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陈柳燕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2019"/>
        </w:tabs>
        <w:kinsoku/>
        <w:wordWrap/>
        <w:topLinePunct w:val="0"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方正小标宋简体" w:cs="Times New Roman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24"/>
          <w:szCs w:val="24"/>
          <w:lang w:eastAsia="zh-CN"/>
        </w:rPr>
        <w:tab/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60" w:lineRule="exact"/>
        <w:ind w:left="0" w:leftChars="0" w:right="0" w:righ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阆中鼎城物业服务有限公司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6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编制《鼎城物业公司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安全教育与培训制度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》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的请示</w:t>
      </w:r>
      <w:bookmarkStart w:id="21" w:name="_GoBack"/>
      <w:bookmarkEnd w:id="21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公司领导：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为适应安全生产发展需求，提高安全管理水平，规范安全管理工作程序，细化安全教育与培训内容，根据总公司《安全生产管理制度汇编》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要求并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结合物业公司安全生产管理实际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需要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，经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安全生产领导小组讨论研究特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编制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物业公司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《安全教育与培训制度》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  <w:t>一、目的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为适应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安全生产需求，提高安全管理水平，规范安全管理工作程序。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通过安全教育与培训规范职工安全生产行为，预防事故和职业病，维护职工安全与健康，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提高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的安全意识和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安全管理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能力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。确保入职员工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能够胜任所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在岗位职责，保障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物业公司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安全生产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发展战略目标的实现。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本制度依据《中华人民共和国安全生产法》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和有关法律、行政法规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</w:pPr>
      <w:bookmarkStart w:id="2" w:name="_Toc5191_WPSOffice_Level2"/>
      <w:bookmarkStart w:id="3" w:name="_Toc7817_WPSOffice_Level2"/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  <w:t>适用范围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本制度适用于公司及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项目（小区）管理室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从事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与质量、环境、职业健康安全管理活动有关的管理人员及作业人员。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</w:pPr>
      <w:bookmarkStart w:id="4" w:name="_Toc20288_WPSOffice_Level2"/>
      <w:bookmarkStart w:id="5" w:name="_Toc2092_WPSOffice_Level2"/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  <w:t>管理原则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坚持“安全第一、预防为主、综合治理”方针，秉承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阆中城投“珍惜生命、构建和谐公司”和“以人为本、科学发展”的安全理念，持续坚持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公司“强执行、严监督、重指导、勤服务”安全管理工作理念，贯彻落实国家安全生产法律法规。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  <w:t>五、安全教育与培训内容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</w:pPr>
      <w:bookmarkStart w:id="6" w:name="_Toc9321_WPSOffice_Level2"/>
      <w:bookmarkStart w:id="7" w:name="_Toc1631_WPSOffice_Level2"/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管理人员取证培训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主要负责人、副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职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、公司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专职安全管理人员需按规定参加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各级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行政主管部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门的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组织的安全培训，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并持“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安全考核合格证”上岗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项目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（小区）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负责人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、兼职安全员及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其它管理人员需取得内部培训合格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</w:pPr>
      <w:bookmarkStart w:id="8" w:name="_Toc21521_WPSOffice_Level2"/>
      <w:bookmarkStart w:id="9" w:name="_Toc3472_WPSOffice_Level2"/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管理人员日常培训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安全生产领导小组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每年应对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安全生产领导小组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成员进行一次安全教育培训，培训学时不低于12学时，培训应包括下列内容：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国家安全生产方针、政策和有关安全生产的法律、法规、规章及标准；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安全生产管理基本知识、安全生产技术、安全生产专业知识；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国内外先进的安全生产管理经验；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典型事故和应急救援案例分析；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其他需要培训的内容。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管理人员安全教育培训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公司每年至少组织一次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专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（兼）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职安全管理人员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一般管理人员安全教育培训，培训学时不低于12学时，培训应包括下列内容：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国家安全生产方针、政策和有关安全生产的法律、法规、规章及标准；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安全生产管理、安全生产技术、职业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等知识；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伤亡事故统计、报告及职业危害的调查处理方法；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应急管理、应急预案编制以及应急处置的内容和要求；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国内外先进的安全生产管理经验；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典型事故和应急救援案例分析；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其他需要培训的内容。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岗前安全培训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新员工入职，公司必须组织岗前安全培训，培训时间不得少于24学时，教育培训内容可参照以上相关培训内容进行。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bookmarkStart w:id="10" w:name="_Toc6765_WPSOffice_Level2"/>
      <w:bookmarkStart w:id="11" w:name="_Toc10989_WPSOffice_Level2"/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（五）项目（小区）从业人员三级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</w:rPr>
        <w:t>培训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秩序维护员、环境维护员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场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项目（小区）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必须组织对其进行三级安全教育（公司级、项目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级、岗位级），教育培训时间不得少于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公司级安全教育培训内容：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本单位安全生产情况；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本单位安全生产规章制度和劳动纪律；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安全生产基本知识（安全技术知识及安全操作技能）；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从业人员安全生产权力和义务；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事故案例等。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项目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级安全教育培训内容：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工作环境及危险因素；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所从事工种可能遭受的职业伤害和伤亡事故；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所从事工种的安全职责、操作技能及强制性标准；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640" w:leftChars="20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自救互救、急救方法、疏散和现场紧急情况的处理；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安全设备设施、个人防护用品的使用和维护；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预防事故和职业危害的措施及应注意的安全事项；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有关事故案例等。</w:t>
      </w:r>
      <w:bookmarkStart w:id="12" w:name="_Toc3450618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岗位级安全教育培训内容：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岗位生产工作概况，工作性质及范围；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岗位之间工作衔接配合的安全与职业卫生事项；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的安全操作规程；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容易发生事故的部位及劳动防护用品的使用要求；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有关事故案例等。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（六）项目（小区）日常教育培训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生产过程中，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项目（小区）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应每年对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进行不少于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学时的安全教育培训，培训应包括操作规程、典型违章行为和事故案例等内容。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变换工种或调换工作岗位的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项目（小区）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应组织变换工种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、岗位的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安全教育培训。安全教育培训应当包括以下内容：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  <w:t>新工作岗位或生产班组安全生产概况、工作性质和职责；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新工作岗位必要的安全知识，各种机具设备及安全防护设施的性能和作用；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新工作岗位、新工种的安全技术操作规程；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新工作岗位危险因素及个人防护用品使用要求等。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（七）现场作业人员教育培训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工程作业人员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必须经专门的安全技术理论和实操培训、考试合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格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取得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相关部门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颁发的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证件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后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方可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上岗。生产过程中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工程室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应每月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作业人员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安全教育培训，重点培训现场典型违章、事故案例等内容。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/>
        </w:rPr>
      </w:pP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绿化作业人员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应具有系统的植物、土肥、植保、树木、花卉等方面的种植养护专业理论技术知识；熟练的绿化种植及养护操作技能，并能达到一般工艺要求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知晓并能熟练的使用绿化工具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生产过程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每年作业小区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对绿化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人员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安全教育培训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1次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，重点培训现场典型违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规操作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、事故案例等内容。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教育培训内容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岗位生产工作概况，工作性质及范围；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工作环境及危险因素；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所从事工种可能遭受的职业伤害和伤亡事故；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FF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（4）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作业人员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安全职责、安全操作规程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自救互救、急救方法、疏散和现场紧急情况的处理；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（6）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  <w:t>安全设备设施、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  <w:lang w:eastAsia="zh-CN"/>
        </w:rPr>
        <w:t>作业工具、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  <w:t>个人防护用品的使用和维护；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（7）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预防事故和职业危害的措施及应注意的安全事项；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（8）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生产过程中推广使用的新技术、新材料、新工艺、新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  <w:t>设备，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</w:rPr>
        <w:t>应对有关管理人员和作业人员进行相关的安全技术培训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9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（9）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有关事故案例等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（10）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春节等节日放假后复工，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管理室应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进行复工安全教育培训，培训内容参照入场培训。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</w:pPr>
      <w:bookmarkStart w:id="13" w:name="_Toc24267_WPSOffice_Level2"/>
      <w:bookmarkStart w:id="14" w:name="_Toc28340_WPSOffice_Level2"/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  <w:shd w:val="clear" w:color="auto" w:fill="FFFFFF"/>
        </w:rPr>
        <w:t>培训要求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公司应高度重视安全教育培训工作，按国家和行业主管部门规定，制定安全教育培训制度，保证安全教育培训投入（资金、物项、时间等）。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公司安全室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负责安全生产教育与培训的组织管理，安全生产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各管理室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应积极配合并提供支持。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项目（小区）管理室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负责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管辖区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安全生产教育与培训的组织管理，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安全室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应积极配合并提供支持。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公司、项目（小区）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应编制年度安全教育培训计划并按计划组织实施，安全教育培训应覆盖所有管理人员（包括劳务派遣与实习学生）和作业工人。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安全教育培训形式应多样化，包括组织专门培训班、作业现场模拟操作培训、召开事故现场分析会等，以确保取得实效。培训材料应与实践结合，图文并茂，鼓励采用影视培训和体验式培训。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（六）培训考核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1.新入职员工岗岗前培训完成后进行安全生产考核，考核合格方能上岗。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2.公司组织开展</w:t>
      </w:r>
      <w:r>
        <w:rPr>
          <w:rFonts w:hint="eastAsia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年度安全生产知识考核，并下发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安全生产教育和培训合格</w:t>
      </w:r>
      <w:r>
        <w:rPr>
          <w:rFonts w:hint="eastAsia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证明。</w:t>
      </w:r>
      <w:r>
        <w:rPr>
          <w:rFonts w:hint="default" w:ascii="Times New Roman" w:hAnsi="Times New Roman" w:eastAsia="方正仿宋_GBK" w:cs="Times New Roman"/>
          <w:b/>
          <w:bCs/>
          <w:color w:val="auto"/>
          <w:w w:val="100"/>
          <w:sz w:val="32"/>
          <w:szCs w:val="32"/>
          <w:shd w:val="clear" w:color="auto" w:fill="FFFFFF"/>
        </w:rPr>
        <w:t>保</w:t>
      </w:r>
      <w:r>
        <w:rPr>
          <w:rFonts w:hint="default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证从业人员具备必要的安全生产知识，熟悉有关安全生产规章制度和安全操作规程，掌握本岗位的安全操作技能，了解事故应急处理措施，知悉自身在安全生产方面的权力和义务。未经安全生产教育和培训合格的从业人员，不得上岗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公司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、项目（小区）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安全生产教育培训应形成记录，包括培训通知、培训记录单（培训主题、培训人、培训对象及签名、学时、培训内容等）、培训效果验证及培训照片等。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auto"/>
          <w:w w:val="1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w w:val="100"/>
          <w:sz w:val="32"/>
          <w:szCs w:val="32"/>
          <w:shd w:val="clear" w:color="auto" w:fill="FFFFFF"/>
          <w:lang w:eastAsia="zh-CN"/>
        </w:rPr>
        <w:t>七、公司安全教育培训考核内容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（一）考核内容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1.是否建立安全教育培训制度和年度教育培训计划,储备安全教育物资。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2.是否对全体现场工作人员开展日常教育培训；是否对新进员工、特种作业人员进行岗前、入场三级安全教育培训及考核。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_GBK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教育培训应形成记录，包括培训通知、培训记录单（培训主题、培训人、培训对象及签名、学时、培训内容等）、培训效果验证及培训照片等。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（二）考核标准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教育培训检查纳入月度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安全生产</w:t>
      </w:r>
      <w:r>
        <w:rPr>
          <w:rFonts w:hint="eastAsia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检查中，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采用量化评分方式考核，</w:t>
      </w:r>
      <w:r>
        <w:rPr>
          <w:rFonts w:hint="eastAsia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教育培训项占比</w:t>
      </w:r>
      <w:r>
        <w:rPr>
          <w:rFonts w:hint="eastAsia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5分。安全生产整体考核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分及以上为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优秀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80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分以上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分以下为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良好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分以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80以下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为合格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50分以上70分以下为较差，50分以下为差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leftChars="0"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w w:val="100"/>
          <w:sz w:val="32"/>
          <w:szCs w:val="32"/>
          <w:shd w:val="clear" w:color="auto" w:fill="FFFFFF"/>
        </w:rPr>
      </w:pPr>
      <w:bookmarkStart w:id="15" w:name="_Toc5342_WPSOffice_Level1"/>
      <w:r>
        <w:rPr>
          <w:rFonts w:hint="eastAsia" w:ascii="方正黑体_GBK" w:hAnsi="方正黑体_GBK" w:eastAsia="方正黑体_GBK" w:cs="方正黑体_GBK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w w:val="100"/>
          <w:sz w:val="32"/>
          <w:szCs w:val="32"/>
          <w:shd w:val="clear" w:color="auto" w:fill="FFFFFF"/>
        </w:rPr>
        <w:t>附则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bookmarkStart w:id="16" w:name="_Toc29750_WPSOffice_Level1"/>
      <w:bookmarkStart w:id="17" w:name="_Toc4717_WPSOffice_Level1"/>
      <w:bookmarkStart w:id="18" w:name="_Toc31304_WPSOffice_Level1"/>
      <w:bookmarkStart w:id="19" w:name="_Toc16176_WPSOffice_Level1"/>
      <w:bookmarkStart w:id="20" w:name="_Toc23019_WPSOffice_Level1"/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本制度由公司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eastAsia="zh-CN"/>
        </w:rPr>
        <w:t>安全生产领导小组</w:t>
      </w:r>
      <w:r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</w:rPr>
        <w:t>负责解释。</w:t>
      </w:r>
      <w:bookmarkEnd w:id="16"/>
      <w:bookmarkEnd w:id="17"/>
      <w:bookmarkEnd w:id="18"/>
      <w:bookmarkEnd w:id="19"/>
      <w:bookmarkEnd w:id="2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firstLine="3534" w:firstLineChars="110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阆中鼎城物业服务有限公司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56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6"/>
        <w:ind w:left="0" w:leftChars="0" w:firstLine="0" w:firstLineChars="0"/>
        <w:rPr>
          <w:rFonts w:hint="eastAsia" w:ascii="方正黑体_GBK" w:hAnsi="方正黑体_GBK" w:eastAsia="方正黑体_GBK" w:cs="方正黑体_GBK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w w:val="10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-1094" w:leftChars="-342" w:firstLine="879" w:firstLineChars="199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安全生产教育培训记录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894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培训名称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组织部门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培训地点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培训方式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授课教师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记录人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培训时间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参加人员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培训学时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培训核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方式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面试或口头提问（）  笔试（ ） 技能演示（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>培训内容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281" w:leftChars="0" w:hanging="281" w:hangingChars="100"/>
              <w:jc w:val="both"/>
              <w:textAlignment w:val="auto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</w:rPr>
              <w:t>培训效果评价</w:t>
            </w:r>
          </w:p>
          <w:p>
            <w:pPr>
              <w:pStyle w:val="2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  <w:t>（总结）</w:t>
            </w:r>
          </w:p>
        </w:tc>
        <w:tc>
          <w:tcPr>
            <w:tcW w:w="8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Style w:val="12"/>
                <w:rFonts w:hint="eastAsia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w w:val="100"/>
          <w:sz w:val="28"/>
          <w:szCs w:val="28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b/>
          <w:bCs/>
          <w:w w:val="100"/>
          <w:sz w:val="28"/>
          <w:szCs w:val="28"/>
          <w:lang w:eastAsia="zh-CN"/>
        </w:rPr>
        <w:t>培训记录表后面附上本次教育培训内容资料、签到表、影像资料等。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会议签到表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lang w:val="en-US" w:eastAsia="zh-CN" w:bidi="ar"/>
              </w:rPr>
              <w:t>会议主题</w:t>
            </w:r>
          </w:p>
        </w:tc>
        <w:tc>
          <w:tcPr>
            <w:tcW w:w="6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Style w:val="13"/>
                <w:rFonts w:hint="default" w:ascii="方正仿宋_GBK" w:hAnsi="方正仿宋_GBK" w:eastAsia="方正仿宋_GBK" w:cs="方正仿宋_GBK"/>
                <w:lang w:val="en-US" w:eastAsia="zh-CN" w:bidi="ar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lang w:val="en-US" w:eastAsia="zh-CN" w:bidi="ar"/>
              </w:rPr>
              <w:t>会议时间</w:t>
            </w:r>
          </w:p>
        </w:tc>
        <w:tc>
          <w:tcPr>
            <w:tcW w:w="6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12" w:space="0"/>
          <w:bottom w:val="single" w:color="auto" w:sz="12" w:space="1"/>
        </w:pBdr>
        <w:tabs>
          <w:tab w:val="left" w:pos="7371"/>
          <w:tab w:val="left" w:pos="7513"/>
          <w:tab w:val="left" w:pos="7655"/>
          <w:tab w:val="left" w:pos="7938"/>
          <w:tab w:val="left" w:pos="8080"/>
          <w:tab w:val="left" w:pos="8505"/>
          <w:tab w:val="clear" w:pos="992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100" w:afterAutospacing="1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阆中鼎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lang w:eastAsia="zh-CN"/>
        </w:rPr>
        <w:t>城物业服务</w:t>
      </w: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 xml:space="preserve">有限公司                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年</w:t>
      </w:r>
      <w:r>
        <w:rPr>
          <w:rFonts w:hint="eastAsia" w:eastAsia="方正仿宋_GBK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月</w:t>
      </w:r>
      <w:r>
        <w:rPr>
          <w:rFonts w:hint="eastAsia" w:eastAsia="方正仿宋_GBK" w:cs="Times New Roman"/>
          <w:b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日印</w:t>
      </w:r>
    </w:p>
    <w:sectPr>
      <w:footerReference r:id="rId5" w:type="default"/>
      <w:pgSz w:w="11906" w:h="16838"/>
      <w:pgMar w:top="2098" w:right="1474" w:bottom="1871" w:left="1587" w:header="454" w:footer="1020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B004D"/>
    <w:multiLevelType w:val="multilevel"/>
    <w:tmpl w:val="665B004D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1715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TgwOWI4MjlhNTA1ZGFkZWM3NDk1ZWVlNTc2NWMifQ=="/>
  </w:docVars>
  <w:rsids>
    <w:rsidRoot w:val="00000000"/>
    <w:rsid w:val="021E60E6"/>
    <w:rsid w:val="09F73AB5"/>
    <w:rsid w:val="0C737F64"/>
    <w:rsid w:val="0D6D5616"/>
    <w:rsid w:val="0E9C7B79"/>
    <w:rsid w:val="1DAC1508"/>
    <w:rsid w:val="25282883"/>
    <w:rsid w:val="253B65C2"/>
    <w:rsid w:val="2C3C6D63"/>
    <w:rsid w:val="2F434E8B"/>
    <w:rsid w:val="3DA32452"/>
    <w:rsid w:val="41B17D2F"/>
    <w:rsid w:val="44326332"/>
    <w:rsid w:val="484E62D1"/>
    <w:rsid w:val="51ED361C"/>
    <w:rsid w:val="609B3C2C"/>
    <w:rsid w:val="617B39D2"/>
    <w:rsid w:val="66630235"/>
    <w:rsid w:val="668636D6"/>
    <w:rsid w:val="6CCD7316"/>
    <w:rsid w:val="6E7F76F8"/>
    <w:rsid w:val="6FBC381E"/>
    <w:rsid w:val="733A19C9"/>
    <w:rsid w:val="774C52CD"/>
    <w:rsid w:val="793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992"/>
      </w:tabs>
      <w:spacing w:before="50" w:beforeLines="50" w:after="50" w:afterLines="50" w:line="360" w:lineRule="exact"/>
      <w:ind w:left="992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numPr>
        <w:ilvl w:val="0"/>
        <w:numId w:val="1"/>
      </w:numPr>
      <w:spacing w:before="50" w:after="50"/>
      <w:jc w:val="left"/>
      <w:outlineLvl w:val="0"/>
    </w:pPr>
    <w:rPr>
      <w:rFonts w:eastAsia="黑体"/>
      <w:b/>
      <w:bCs/>
      <w:kern w:val="36"/>
      <w:szCs w:val="48"/>
    </w:rPr>
  </w:style>
  <w:style w:type="paragraph" w:styleId="4">
    <w:name w:val="heading 2"/>
    <w:basedOn w:val="1"/>
    <w:next w:val="1"/>
    <w:qFormat/>
    <w:uiPriority w:val="9"/>
    <w:pPr>
      <w:numPr>
        <w:ilvl w:val="1"/>
        <w:numId w:val="1"/>
      </w:numPr>
      <w:spacing w:before="50" w:after="50"/>
      <w:outlineLvl w:val="1"/>
    </w:pPr>
    <w:rPr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numPr>
        <w:ilvl w:val="2"/>
        <w:numId w:val="1"/>
      </w:numPr>
      <w:spacing w:before="50" w:after="50"/>
      <w:outlineLvl w:val="2"/>
    </w:pPr>
    <w:rPr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adjustRightInd w:val="0"/>
      <w:spacing w:line="380" w:lineRule="exact"/>
    </w:pPr>
    <w:rPr>
      <w:spacing w:val="-6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  <w:tab w:val="clear" w:pos="992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992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font61"/>
    <w:basedOn w:val="11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3361</Words>
  <Characters>3421</Characters>
  <Lines>0</Lines>
  <Paragraphs>0</Paragraphs>
  <TotalTime>23</TotalTime>
  <ScaleCrop>false</ScaleCrop>
  <LinksUpToDate>false</LinksUpToDate>
  <CharactersWithSpaces>3502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2023-02-28T03:19:00Z</dcterms:created>
  <dc:creator>Administrator</dc:creator>
  <cp:lastModifiedBy>宋sr</cp:lastModifiedBy>
  <cp:lastPrinted>2023-03-15T08:56:00Z</cp:lastPrinted>
  <dcterms:modified xsi:type="dcterms:W3CDTF">2023-05-06T07:14:32Z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BB2D1D14DC6A4A51A48AC89C78309DA1_13</vt:lpwstr>
  </property>
</Properties>
</file>