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0"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生产安全事故管理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制度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1、事故的分类和分级。凡在加油站区域内或作业过程中发生的人员伤亡、物资财产损失均称为加油站事故。按事故类型分为：爆炸事故、火灾事故、设备事故、生产作业事故、交通事故、人身伤亡；按事故性质分为：责任事故、非责任事故或破坏事故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2．事故等级和损失计算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1）设备事故按《化学工业企业设备动力管理制度》执行。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2）火灾事故按《火灾统计管理规定》执行。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3）交通事故按公安部《关于做好交通管理统计工作的通知》执行。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4）伤亡事故按《生产安全事故报告和调查处理条例》执行。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5）其他各类事故的等级划分和损失计算方法，按国家有关部门的规定执行。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3．发生事故，必须积极抢救，妥善处理，以防止事故的蔓延扩大。发生重大火灾爆炸事故立即启动事故应急救援预案。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4、事故报告：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（1）发生事故后，事故当事人或发现人应立即报告</w:t>
      </w:r>
      <w:r>
        <w:rPr>
          <w:rFonts w:hint="eastAsia" w:cs="Times New Roman"/>
          <w:sz w:val="24"/>
          <w:szCs w:val="24"/>
          <w:lang w:val="en-US" w:eastAsia="zh-CN" w:bidi="ar"/>
        </w:rPr>
        <w:t>单位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的有关领导，紧急情况要报警；伤亡、中毒事故，应保护现场并迅速组织抢救人员及财产，重大火灾，爆炸、跑油事故，应组成现场指挥部，防止事故蔓延扩大。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2）凡属二级以上事故，加油站工作人员应立即向安全管理员报告，安全管理员在事情发生1分钟内将事情发生的时间、地点、起因、经过、造成的后果、初步分析、已采取措施等情况报告给单位负责人，涉及到人员伤亡及重大事故应立即按事故性质，单位负责人应按国家事故管理规定报告加油站所在地的</w:t>
      </w:r>
      <w:r>
        <w:rPr>
          <w:rFonts w:hint="eastAsia" w:cs="Times New Roman"/>
          <w:sz w:val="24"/>
          <w:szCs w:val="24"/>
          <w:lang w:val="en-US" w:eastAsia="zh-CN" w:bidi="ar"/>
        </w:rPr>
        <w:t>应急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管理部门。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（3）由于火灾、爆炸等原因造成较大社会影响的事故，应迅速报所在地的</w:t>
      </w:r>
      <w:r>
        <w:rPr>
          <w:rFonts w:hint="eastAsia" w:cs="Times New Roman"/>
          <w:sz w:val="24"/>
          <w:szCs w:val="24"/>
          <w:lang w:val="en-US" w:eastAsia="zh-CN" w:bidi="ar"/>
        </w:rPr>
        <w:t>应急管理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部门。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（4）发生涉及死亡特大、重大和一级事故，加油站负责人在对事故原因基本调查清楚的基础上，提出处理意见，在事故发生3天以内向所在</w:t>
      </w:r>
      <w:r>
        <w:rPr>
          <w:rFonts w:hint="eastAsia" w:cs="Times New Roman"/>
          <w:sz w:val="24"/>
          <w:szCs w:val="24"/>
          <w:lang w:val="en-US" w:eastAsia="zh-CN" w:bidi="ar"/>
        </w:rPr>
        <w:t>应急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管理部门汇报。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5、事故调查：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（1）发生二级以下事故，由加油站站长组织调查；发生一级、重、特大事故，由当地</w:t>
      </w:r>
      <w:r>
        <w:rPr>
          <w:rFonts w:hint="eastAsia" w:cs="Times New Roman"/>
          <w:sz w:val="24"/>
          <w:szCs w:val="24"/>
          <w:lang w:val="en-US" w:eastAsia="zh-CN" w:bidi="ar"/>
        </w:rPr>
        <w:t>应急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管理部门调查。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（2）外包工程乙方发生的事故，由乙方负责组织调查、处理。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（3）加油站应配合事故调查部门进行调查，提供有关资料，任何部门和个人不得拒绝。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6、事故处理：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（1）事故调查和处理要坚持“四不放过”的原则，即事故原因分析不清不放过；事故责任者没有严肃处理不放过；事故责任者和群众没有受到教育不放过；没有防范措施不放过。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（2）因忽视安全生产、违章指挥、违章操作、违反劳动纪律造成事故的，对加油站当班负责人和事故责任者给予行政处分和经济处罚，构成犯罪的，由司法部门依法追究刑事责任。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（3）事故发生后，不得隐瞒不报、谎报、故意拖延不报、故意破坏现场。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DM2MDE5NGJlY2FhZDNmY2YzYzdkMGIzNTQ4YjkifQ=="/>
  </w:docVars>
  <w:rsids>
    <w:rsidRoot w:val="79F466CD"/>
    <w:rsid w:val="79F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2023-05-08T02:52:00Z</dcterms:created>
  <dc:creator>Administrator</dc:creator>
  <cp:lastModifiedBy>Administrator</cp:lastModifiedBy>
  <dcterms:modified xsi:type="dcterms:W3CDTF">2023-05-08T02:52:34Z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C4C20490993F480F84FADE252C56E2F8_11</vt:lpwstr>
  </property>
</Properties>
</file>