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2" w:name="_GoBack"/>
      <w:bookmarkStart w:id="0" w:name="_Toc8975"/>
      <w:bookmarkStart w:id="1" w:name="_Toc449044789"/>
      <w:r>
        <w:rPr>
          <w:rFonts w:hint="eastAsia"/>
          <w:sz w:val="28"/>
          <w:szCs w:val="28"/>
          <w:lang w:val="en-US" w:eastAsia="zh-CN"/>
        </w:rPr>
        <w:t>安全生产奖惩制度</w:t>
      </w:r>
      <w:bookmarkEnd w:id="0"/>
      <w:bookmarkEnd w:id="1"/>
    </w:p>
    <w:bookmarkEnd w:id="2"/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为落实安全生产，督促员工在安全生产工作中保护自身的安全，特制订安全生产奖惩制度：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有下列情形之一者，由站领导或上报主管公司给予奖励：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积极参加加油站组织的安全教育学习和培训，考试成绩优秀及消防实战演练成绩优秀。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在日常安全检查工作中，及时发现隐患，并积极采取有效措施避免事故发生。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发现“三违”行为，及时制止。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遇有突发和不可抗拒事故发生，处理得当，避免或减少油站财产损失。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2、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处罚分为责令改进、警告、严重警告和辞退。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）有下列情形之一者，责令其立即改正：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）工作时未按规定穿戴防静电工作服。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）带手机等通讯工具上岗。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）直接往塑料容器内加油。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）违反其安全管理规定。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有下列情形之一者，给予警告的处分：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）在各项安全生产教育学习、培训中考试不合格。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 加油时造成跑、冒油，但未造成损失。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）被责令改进后拒不执行，改正后再犯。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有下列情形之一者，给予严重警告的处分：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）受警告处分后，三月内再犯。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）卸油时溢罐。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）有“三违”行为，不接受制止。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4）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有下列情形之一者，给予辞退的处分：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）受严重警告处分后，三月内表现仍达不到要求。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）在禁烟区内吸烟。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）重违反加油站安全规章制度和操作规程，给加油站造成严重损失。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3、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处罚的行使权限：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安全员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有行使“责令改进”的权限。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） 站长有行使“责令改进、警告、严重警告、辞退”的权限。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DM2MDE5NGJlY2FhZDNmY2YzYzdkMGIzNTQ4YjkifQ=="/>
  </w:docVars>
  <w:rsids>
    <w:rsidRoot w:val="4C7A5179"/>
    <w:rsid w:val="4C7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2023-05-08T02:45:00Z</dcterms:created>
  <dc:creator>Administrator</dc:creator>
  <cp:lastModifiedBy>Administrator</cp:lastModifiedBy>
  <dcterms:modified xsi:type="dcterms:W3CDTF">2023-05-08T02:45:43Z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74E0DCB3924C4BA2A5407F8A45805BB3_11</vt:lpwstr>
  </property>
</Properties>
</file>