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364" w:tblpY="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0"/>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新宋体" w:hAnsi="新宋体" w:eastAsia="新宋体" w:cs="新宋体"/>
                <w:b/>
                <w:bCs/>
                <w:color w:val="auto"/>
                <w:sz w:val="24"/>
                <w:szCs w:val="24"/>
                <w:lang w:val="en-US" w:eastAsia="zh-CN"/>
              </w:rPr>
              <w:t>四川</w:t>
            </w:r>
            <w:r>
              <w:rPr>
                <w:rFonts w:hint="eastAsia" w:ascii="新宋体" w:hAnsi="新宋体" w:eastAsia="新宋体" w:cs="新宋体"/>
                <w:b/>
                <w:bCs/>
                <w:color w:val="auto"/>
                <w:sz w:val="24"/>
                <w:szCs w:val="24"/>
                <w:lang w:eastAsia="zh-CN"/>
              </w:rPr>
              <w:t>阆中</w:t>
            </w:r>
            <w:r>
              <w:rPr>
                <w:rFonts w:hint="eastAsia" w:ascii="新宋体" w:hAnsi="新宋体" w:eastAsia="新宋体" w:cs="新宋体"/>
                <w:b/>
                <w:bCs/>
                <w:color w:val="auto"/>
                <w:sz w:val="24"/>
                <w:szCs w:val="24"/>
                <w:lang w:val="en-US" w:eastAsia="zh-CN"/>
              </w:rPr>
              <w:t>速发</w:t>
            </w:r>
            <w:r>
              <w:rPr>
                <w:rFonts w:hint="eastAsia" w:ascii="新宋体" w:hAnsi="新宋体" w:eastAsia="新宋体" w:cs="新宋体"/>
                <w:b/>
                <w:bCs/>
                <w:color w:val="auto"/>
                <w:sz w:val="24"/>
                <w:szCs w:val="24"/>
                <w:lang w:eastAsia="zh-CN"/>
              </w:rPr>
              <w:t>烟花爆竹</w:t>
            </w:r>
            <w:r>
              <w:rPr>
                <w:rFonts w:hint="eastAsia" w:ascii="新宋体" w:hAnsi="新宋体" w:eastAsia="新宋体" w:cs="新宋体"/>
                <w:b/>
                <w:bCs/>
                <w:color w:val="auto"/>
                <w:sz w:val="24"/>
                <w:szCs w:val="24"/>
                <w:lang w:val="en-US" w:eastAsia="zh-CN"/>
              </w:rPr>
              <w:t>经营</w:t>
            </w:r>
            <w:r>
              <w:rPr>
                <w:rFonts w:hint="eastAsia" w:ascii="新宋体" w:hAnsi="新宋体" w:eastAsia="新宋体" w:cs="新宋体"/>
                <w:b/>
                <w:bCs/>
                <w:color w:val="auto"/>
                <w:sz w:val="24"/>
                <w:szCs w:val="24"/>
                <w:lang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安全生产规章制度</w:t>
            </w: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文件编号：</w:t>
            </w:r>
            <w:r>
              <w:rPr>
                <w:rFonts w:hint="eastAsia" w:ascii="宋体" w:hAnsi="宋体" w:eastAsia="宋体" w:cs="宋体"/>
                <w:b/>
                <w:bCs/>
                <w:sz w:val="24"/>
                <w:szCs w:val="24"/>
                <w:lang w:val="en-US" w:eastAsia="zh-CN"/>
              </w:rPr>
              <w:t>LZS</w:t>
            </w:r>
            <w:r>
              <w:rPr>
                <w:rFonts w:hint="eastAsia" w:ascii="宋体" w:hAnsi="宋体" w:cs="宋体"/>
                <w:b/>
                <w:bCs/>
                <w:sz w:val="24"/>
                <w:szCs w:val="24"/>
                <w:lang w:val="en-US" w:eastAsia="zh-CN"/>
              </w:rPr>
              <w:t>F</w:t>
            </w:r>
            <w:r>
              <w:rPr>
                <w:rFonts w:hint="eastAsia" w:ascii="宋体" w:hAnsi="宋体" w:eastAsia="宋体" w:cs="宋体"/>
                <w:b/>
                <w:bCs/>
                <w:sz w:val="24"/>
                <w:szCs w:val="24"/>
              </w:rPr>
              <w:t>/G</w:t>
            </w:r>
            <w:r>
              <w:rPr>
                <w:rFonts w:hint="eastAsia" w:ascii="宋体" w:hAnsi="宋体" w:eastAsia="宋体" w:cs="宋体"/>
                <w:b/>
                <w:bCs/>
                <w:sz w:val="24"/>
                <w:szCs w:val="24"/>
                <w:lang w:val="en-US" w:eastAsia="zh-CN"/>
              </w:rPr>
              <w:t>Z</w:t>
            </w:r>
            <w:r>
              <w:rPr>
                <w:rFonts w:hint="eastAsia" w:ascii="宋体" w:hAnsi="宋体" w:eastAsia="宋体" w:cs="宋体"/>
                <w:b/>
                <w:bCs/>
                <w:sz w:val="24"/>
                <w:szCs w:val="24"/>
              </w:rPr>
              <w:t>ZD</w:t>
            </w:r>
            <w:r>
              <w:rPr>
                <w:rFonts w:hint="eastAsia" w:ascii="宋体" w:hAnsi="宋体" w:eastAsia="宋体" w:cs="宋体"/>
                <w:b/>
                <w:bCs/>
                <w:color w:val="000000"/>
                <w:sz w:val="24"/>
                <w:szCs w:val="24"/>
                <w:lang w:val="en-US" w:eastAsia="zh-CN"/>
              </w:rPr>
              <w:t>12</w:t>
            </w:r>
            <w:r>
              <w:rPr>
                <w:rFonts w:hint="eastAsia" w:ascii="宋体" w:hAnsi="宋体" w:eastAsia="宋体" w:cs="宋体"/>
                <w:b/>
                <w:bCs/>
                <w:color w:val="000000"/>
                <w:sz w:val="24"/>
                <w:szCs w:val="24"/>
              </w:rPr>
              <w:t>-20</w:t>
            </w:r>
            <w:r>
              <w:rPr>
                <w:rFonts w:hint="eastAsia" w:ascii="宋体" w:hAnsi="宋体" w:eastAsia="宋体" w:cs="宋体"/>
                <w:b/>
                <w:bCs/>
                <w:color w:val="000000"/>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4"/>
                <w:szCs w:val="24"/>
              </w:rPr>
            </w:pP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页</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共</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restart"/>
            <w:noWrap w:val="0"/>
            <w:vAlign w:val="center"/>
          </w:tcPr>
          <w:p>
            <w:pPr>
              <w:pStyle w:val="3"/>
              <w:spacing w:line="288"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事故隐患报告与举报奖惩制度</w:t>
            </w: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版　　第1次修订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continue"/>
            <w:noWrap w:val="0"/>
            <w:vAlign w:val="center"/>
          </w:tcPr>
          <w:p>
            <w:pPr>
              <w:spacing w:line="360" w:lineRule="exact"/>
              <w:jc w:val="center"/>
              <w:rPr>
                <w:rFonts w:hint="eastAsia" w:ascii="宋体" w:hAnsi="宋体" w:eastAsia="宋体" w:cs="宋体"/>
                <w:b/>
                <w:bCs/>
                <w:sz w:val="24"/>
                <w:szCs w:val="24"/>
              </w:rPr>
            </w:pP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 xml:space="preserve">颁布日期： </w:t>
            </w:r>
            <w:r>
              <w:rPr>
                <w:rFonts w:hint="eastAsia" w:ascii="宋体" w:hAnsi="宋体" w:eastAsia="宋体" w:cs="宋体"/>
                <w:b/>
                <w:bCs/>
                <w:color w:val="auto"/>
                <w:sz w:val="24"/>
                <w:szCs w:val="24"/>
                <w:lang w:eastAsia="zh-CN"/>
              </w:rPr>
              <w:t>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7" w:hRule="atLeast"/>
        </w:trPr>
        <w:tc>
          <w:tcPr>
            <w:tcW w:w="9456"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黑体" w:hAnsi="黑体" w:eastAsia="黑体" w:cs="黑体"/>
                <w:b/>
                <w:bCs/>
                <w:sz w:val="24"/>
                <w:szCs w:val="24"/>
              </w:rPr>
            </w:pPr>
            <w:r>
              <w:rPr>
                <w:rFonts w:hint="eastAsia" w:ascii="黑体" w:hAnsi="黑体" w:eastAsia="黑体" w:cs="黑体"/>
                <w:b/>
                <w:bCs/>
                <w:sz w:val="24"/>
                <w:szCs w:val="24"/>
              </w:rPr>
              <w:t>1.目的</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color w:val="000000"/>
                <w:sz w:val="24"/>
                <w:szCs w:val="24"/>
              </w:rPr>
            </w:pPr>
            <w:r>
              <w:rPr>
                <w:rFonts w:hint="eastAsia" w:ascii="宋体" w:hAnsi="宋体" w:eastAsia="宋体" w:cs="宋体"/>
                <w:b/>
                <w:bCs/>
                <w:sz w:val="24"/>
                <w:szCs w:val="24"/>
                <w:lang w:val="en-US" w:eastAsia="zh-CN"/>
              </w:rPr>
              <w:t>为贯彻落实“安全第一，预防为主，综合治理”的方针,强化安全管理，严格执行各项安全生产规章制度，杜绝“三违”，减少事故，确保公司经营稳定有序的进行，保障公司和广大员工的财产、生命安全，实行</w:t>
            </w:r>
            <w:r>
              <w:rPr>
                <w:rFonts w:hint="eastAsia" w:hAnsi="宋体" w:cs="宋体"/>
                <w:b/>
                <w:bCs/>
                <w:sz w:val="22"/>
                <w:szCs w:val="22"/>
                <w:lang w:val="en-US" w:eastAsia="zh-CN"/>
              </w:rPr>
              <w:t>事故隐患报告与举报奖惩制度</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黑体" w:hAnsi="黑体" w:eastAsia="黑体" w:cs="黑体"/>
                <w:b/>
                <w:bCs/>
                <w:sz w:val="24"/>
                <w:szCs w:val="24"/>
              </w:rPr>
            </w:pPr>
            <w:r>
              <w:rPr>
                <w:rFonts w:hint="eastAsia" w:ascii="黑体" w:hAnsi="黑体" w:eastAsia="黑体" w:cs="黑体"/>
                <w:b/>
                <w:bCs/>
                <w:sz w:val="24"/>
                <w:szCs w:val="24"/>
              </w:rPr>
              <w:t>2.适用范围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本制度适用于公司安全生产事故隐患报告和举报奖励制度的一般规定。</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黑体" w:hAnsi="黑体" w:eastAsia="黑体" w:cs="Arial"/>
                <w:b/>
                <w:bCs/>
                <w:sz w:val="24"/>
                <w:szCs w:val="24"/>
                <w:lang w:eastAsia="zh-CN"/>
              </w:rPr>
            </w:pPr>
            <w:r>
              <w:rPr>
                <w:rFonts w:hint="eastAsia" w:ascii="黑体" w:hAnsi="黑体" w:eastAsia="黑体" w:cs="Arial"/>
                <w:b/>
                <w:bCs/>
                <w:sz w:val="24"/>
                <w:szCs w:val="24"/>
                <w:lang w:val="en-US" w:eastAsia="zh-CN"/>
              </w:rPr>
              <w:t>3.</w:t>
            </w:r>
            <w:r>
              <w:rPr>
                <w:rFonts w:hint="eastAsia" w:ascii="黑体" w:hAnsi="黑体" w:eastAsia="黑体" w:cs="Arial"/>
                <w:b/>
                <w:bCs/>
                <w:sz w:val="24"/>
                <w:szCs w:val="24"/>
                <w:lang w:eastAsia="zh-CN"/>
              </w:rPr>
              <w:t>主要依据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241" w:firstLineChars="100"/>
              <w:textAlignment w:val="auto"/>
              <w:rPr>
                <w:rFonts w:hint="eastAsia" w:ascii="黑体" w:hAnsi="黑体" w:eastAsia="黑体" w:cs="Arial"/>
                <w:b/>
                <w:bCs/>
                <w:sz w:val="24"/>
                <w:szCs w:val="24"/>
              </w:rPr>
            </w:pPr>
            <w:r>
              <w:rPr>
                <w:rFonts w:hint="eastAsia"/>
                <w:b/>
                <w:bCs/>
                <w:color w:val="000000"/>
                <w:sz w:val="24"/>
                <w:szCs w:val="28"/>
              </w:rPr>
              <w:t>《</w:t>
            </w:r>
            <w:r>
              <w:rPr>
                <w:rFonts w:hint="eastAsia"/>
                <w:b/>
                <w:bCs/>
                <w:color w:val="000000"/>
                <w:sz w:val="24"/>
                <w:szCs w:val="28"/>
                <w:lang w:eastAsia="zh-CN"/>
              </w:rPr>
              <w:t>中华人民共和国生产法</w:t>
            </w:r>
            <w:r>
              <w:rPr>
                <w:rFonts w:hint="eastAsia"/>
                <w:b/>
                <w:bCs/>
                <w:color w:val="000000"/>
                <w:sz w:val="24"/>
                <w:szCs w:val="28"/>
              </w:rPr>
              <w:t>》</w:t>
            </w:r>
            <w:r>
              <w:rPr>
                <w:rFonts w:hint="eastAsia"/>
                <w:b/>
                <w:bCs/>
                <w:color w:val="000000"/>
                <w:sz w:val="24"/>
                <w:szCs w:val="28"/>
                <w:lang w:eastAsia="zh-CN"/>
              </w:rPr>
              <w:t>和</w:t>
            </w:r>
            <w:r>
              <w:rPr>
                <w:rFonts w:hint="eastAsia"/>
                <w:b/>
                <w:bCs/>
                <w:color w:val="000000"/>
                <w:sz w:val="24"/>
                <w:szCs w:val="28"/>
              </w:rPr>
              <w:t>《烟花爆竹生产经营企业安全标准化评审办法》</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黑体" w:hAnsi="黑体" w:eastAsia="黑体" w:cs="Arial"/>
                <w:b/>
                <w:bCs/>
                <w:sz w:val="24"/>
                <w:szCs w:val="24"/>
              </w:rPr>
            </w:pPr>
            <w:r>
              <w:rPr>
                <w:rFonts w:hint="eastAsia" w:ascii="黑体" w:hAnsi="黑体" w:eastAsia="黑体" w:cs="Arial"/>
                <w:b/>
                <w:bCs/>
                <w:sz w:val="24"/>
                <w:szCs w:val="24"/>
                <w:lang w:val="en-US" w:eastAsia="zh-CN"/>
              </w:rPr>
              <w:t>4</w:t>
            </w:r>
            <w:r>
              <w:rPr>
                <w:rFonts w:hint="eastAsia" w:ascii="黑体" w:hAnsi="黑体" w:eastAsia="黑体" w:cs="Arial"/>
                <w:b/>
                <w:bCs/>
                <w:sz w:val="24"/>
                <w:szCs w:val="24"/>
              </w:rPr>
              <w:t>.</w:t>
            </w:r>
            <w:r>
              <w:rPr>
                <w:rFonts w:hint="eastAsia" w:ascii="黑体" w:hAnsi="黑体" w:eastAsia="黑体" w:cs="Arial"/>
                <w:b/>
                <w:bCs/>
                <w:sz w:val="24"/>
                <w:szCs w:val="24"/>
                <w:lang w:eastAsia="zh-CN"/>
              </w:rPr>
              <w:t>主要</w:t>
            </w:r>
            <w:r>
              <w:rPr>
                <w:rFonts w:hint="eastAsia" w:ascii="黑体" w:hAnsi="黑体" w:eastAsia="黑体" w:cs="Arial"/>
                <w:b/>
                <w:bCs/>
                <w:sz w:val="24"/>
                <w:szCs w:val="24"/>
              </w:rPr>
              <w:t>职责</w:t>
            </w:r>
          </w:p>
          <w:p>
            <w:pPr>
              <w:keepNext w:val="0"/>
              <w:keepLines w:val="0"/>
              <w:pageBreakBefore w:val="0"/>
              <w:widowControl w:val="0"/>
              <w:kinsoku/>
              <w:wordWrap/>
              <w:overflowPunct/>
              <w:topLinePunct w:val="0"/>
              <w:autoSpaceDE/>
              <w:autoSpaceDN/>
              <w:bidi w:val="0"/>
              <w:adjustRightInd/>
              <w:snapToGrid w:val="0"/>
              <w:spacing w:line="440" w:lineRule="exact"/>
              <w:ind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4</w:t>
            </w:r>
            <w:r>
              <w:rPr>
                <w:rFonts w:hint="default" w:ascii="Times New Roman" w:hAnsi="Times New Roman" w:cs="Times New Roman"/>
                <w:b/>
                <w:bCs/>
                <w:sz w:val="24"/>
                <w:szCs w:val="24"/>
              </w:rPr>
              <w:t>.1</w:t>
            </w:r>
            <w:r>
              <w:rPr>
                <w:rFonts w:hint="default" w:ascii="Times New Roman" w:hAnsi="Times New Roman" w:cs="Times New Roman"/>
                <w:b/>
                <w:bCs/>
                <w:sz w:val="24"/>
                <w:szCs w:val="24"/>
                <w:lang w:eastAsia="zh-CN"/>
              </w:rPr>
              <w:t>公司</w:t>
            </w:r>
            <w:r>
              <w:rPr>
                <w:rFonts w:hint="eastAsia" w:ascii="Times New Roman" w:hAnsi="Times New Roman" w:cs="Times New Roman"/>
                <w:b/>
                <w:bCs/>
                <w:sz w:val="24"/>
                <w:szCs w:val="24"/>
                <w:lang w:val="en-US" w:eastAsia="zh-CN"/>
              </w:rPr>
              <w:t>安全科</w:t>
            </w:r>
            <w:r>
              <w:rPr>
                <w:rFonts w:hint="default" w:ascii="Times New Roman" w:hAnsi="Times New Roman" w:cs="Times New Roman"/>
                <w:b/>
                <w:bCs/>
                <w:sz w:val="24"/>
                <w:szCs w:val="24"/>
                <w:lang w:eastAsia="zh-CN"/>
              </w:rPr>
              <w:t>负责制度的制</w:t>
            </w:r>
            <w:r>
              <w:rPr>
                <w:rFonts w:hint="default" w:ascii="Times New Roman" w:hAnsi="Times New Roman" w:cs="Times New Roman"/>
                <w:b/>
                <w:bCs/>
                <w:sz w:val="24"/>
                <w:szCs w:val="24"/>
                <w:lang w:val="en-US" w:eastAsia="zh-CN"/>
              </w:rPr>
              <w:t>定</w:t>
            </w:r>
            <w:r>
              <w:rPr>
                <w:rFonts w:hint="default" w:ascii="Times New Roman" w:hAnsi="Times New Roman" w:cs="Times New Roman"/>
                <w:b/>
                <w:bCs/>
                <w:sz w:val="24"/>
                <w:szCs w:val="24"/>
                <w:lang w:eastAsia="zh-CN"/>
              </w:rPr>
              <w:t>、监管。</w:t>
            </w:r>
          </w:p>
          <w:p>
            <w:pPr>
              <w:keepNext w:val="0"/>
              <w:keepLines w:val="0"/>
              <w:pageBreakBefore w:val="0"/>
              <w:widowControl w:val="0"/>
              <w:kinsoku/>
              <w:wordWrap/>
              <w:overflowPunct/>
              <w:topLinePunct w:val="0"/>
              <w:autoSpaceDE/>
              <w:autoSpaceDN/>
              <w:bidi w:val="0"/>
              <w:adjustRightInd/>
              <w:snapToGrid w:val="0"/>
              <w:spacing w:line="440" w:lineRule="exact"/>
              <w:ind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4</w:t>
            </w:r>
            <w:r>
              <w:rPr>
                <w:rFonts w:hint="default" w:ascii="Times New Roman" w:hAnsi="Times New Roman" w:cs="Times New Roman"/>
                <w:b/>
                <w:bCs/>
                <w:sz w:val="24"/>
                <w:szCs w:val="24"/>
              </w:rPr>
              <w:t>.2各部门负责本制度的贯彻、</w:t>
            </w:r>
            <w:r>
              <w:rPr>
                <w:rFonts w:hint="eastAsia" w:ascii="Times New Roman" w:hAnsi="Times New Roman" w:cs="Times New Roman"/>
                <w:b/>
                <w:bCs/>
                <w:sz w:val="24"/>
                <w:szCs w:val="24"/>
                <w:lang w:val="en-US" w:eastAsia="zh-CN"/>
              </w:rPr>
              <w:t>落实</w:t>
            </w:r>
            <w:r>
              <w:rPr>
                <w:rFonts w:hint="default" w:ascii="Times New Roman" w:hAnsi="Times New Roman" w:cs="Times New Roman"/>
                <w:b/>
                <w:bCs/>
                <w:sz w:val="24"/>
                <w:szCs w:val="24"/>
                <w:lang w:eastAsia="zh-CN"/>
              </w:rPr>
              <w:t>等工作</w:t>
            </w:r>
            <w:r>
              <w:rPr>
                <w:rFonts w:hint="default" w:ascii="Times New Roman" w:hAnsi="Times New Roman" w:cs="Times New Roman"/>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宋体" w:hAnsi="宋体" w:eastAsia="宋体" w:cs="宋体"/>
                <w:b/>
                <w:bCs/>
                <w:sz w:val="24"/>
                <w:szCs w:val="24"/>
                <w:lang w:eastAsia="zh-CN"/>
              </w:rPr>
            </w:pPr>
            <w:r>
              <w:rPr>
                <w:rFonts w:hint="eastAsia" w:ascii="黑体" w:hAnsi="黑体" w:eastAsia="黑体" w:cs="黑体"/>
                <w:b/>
                <w:bCs/>
                <w:sz w:val="24"/>
                <w:szCs w:val="24"/>
                <w:lang w:val="en-US" w:eastAsia="zh-CN"/>
              </w:rPr>
              <w:t>5.主要</w:t>
            </w:r>
            <w:r>
              <w:rPr>
                <w:rFonts w:hint="eastAsia" w:ascii="黑体" w:hAnsi="黑体" w:eastAsia="黑体" w:cs="黑体"/>
                <w:b/>
                <w:bCs/>
                <w:sz w:val="24"/>
                <w:szCs w:val="24"/>
              </w:rPr>
              <w:t>内容</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5.1事故隐患分类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5.1.1般事故隐患，是指危害和整改难度较小，发现后能立即整改排除的隐患。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5.1.2重大事故隐患， 是指危害和整改难度较大，应当全部或局部停产，并经过一定时间整改治理方能排除的隐患，或者因外部因素影响致使经营单位自身难以排除的。</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5.2事故隐患的范围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5.2.1危及安全生产的不安 全因素或重大险情；</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5.2.2可能导致事故发生和危害扩大的设计缺陷、工艺缺陷、设备缺陷等；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5.2.3建设、施工、检修过程中可能发生的各种能量伤；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5.2.4停工、生产、开工阶段可能发生的火灾、爆炸、中毒等；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5.2.5可能造成职业病、职业中毒的劳动环境和作业条件差；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5.2.6丢弃、 废气、拆除与处理活动</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包括废弃烟花爆竹等</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5.2.7可能造成环境污染和生态破坏的活动过程产品和服务；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5.2.8以往生产活动中遗留下来的潜在危害和影响。</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lang w:val="en-US" w:eastAsia="zh-CN"/>
              </w:rPr>
            </w:pPr>
            <w:r>
              <w:rPr>
                <w:rFonts w:hint="eastAsia" w:ascii="Times New Roman" w:hAnsi="Times New Roman" w:eastAsia="宋体" w:cs="Times New Roman"/>
                <w:b/>
                <w:bCs/>
                <w:sz w:val="24"/>
                <w:szCs w:val="24"/>
                <w:lang w:val="en-US" w:eastAsia="zh-CN"/>
              </w:rPr>
              <w:t>5.3</w:t>
            </w:r>
            <w:r>
              <w:rPr>
                <w:rFonts w:hint="default" w:ascii="Times New Roman" w:hAnsi="Times New Roman" w:eastAsia="宋体" w:cs="Times New Roman"/>
                <w:b/>
                <w:bCs/>
                <w:sz w:val="24"/>
                <w:szCs w:val="24"/>
                <w:lang w:val="en-US" w:eastAsia="zh-CN"/>
              </w:rPr>
              <w:t>举报程序</w:t>
            </w:r>
          </w:p>
        </w:tc>
      </w:tr>
    </w:tbl>
    <w:p>
      <w:pPr>
        <w:pStyle w:val="2"/>
        <w:ind w:left="0" w:leftChars="0" w:firstLine="0" w:firstLineChars="0"/>
        <w:rPr>
          <w:rFonts w:hint="eastAsia"/>
        </w:rPr>
        <w:sectPr>
          <w:pgSz w:w="11906" w:h="16838"/>
          <w:pgMar w:top="1440" w:right="1313" w:bottom="1440" w:left="1353" w:header="851" w:footer="992" w:gutter="0"/>
          <w:pgNumType w:fmt="decimal"/>
          <w:cols w:space="720" w:num="1"/>
          <w:docGrid w:type="lines" w:linePitch="312" w:charSpace="0"/>
        </w:sectPr>
      </w:pPr>
    </w:p>
    <w:tbl>
      <w:tblPr>
        <w:tblStyle w:val="4"/>
        <w:tblpPr w:leftFromText="180" w:rightFromText="180" w:vertAnchor="text" w:horzAnchor="page" w:tblpX="1364" w:tblpY="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0"/>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新宋体" w:hAnsi="新宋体" w:eastAsia="新宋体" w:cs="新宋体"/>
                <w:b/>
                <w:bCs/>
                <w:color w:val="auto"/>
                <w:sz w:val="24"/>
                <w:szCs w:val="24"/>
                <w:lang w:val="en-US" w:eastAsia="zh-CN"/>
              </w:rPr>
              <w:t>四川</w:t>
            </w:r>
            <w:r>
              <w:rPr>
                <w:rFonts w:hint="eastAsia" w:ascii="新宋体" w:hAnsi="新宋体" w:eastAsia="新宋体" w:cs="新宋体"/>
                <w:b/>
                <w:bCs/>
                <w:color w:val="auto"/>
                <w:sz w:val="24"/>
                <w:szCs w:val="24"/>
                <w:lang w:eastAsia="zh-CN"/>
              </w:rPr>
              <w:t>阆中</w:t>
            </w:r>
            <w:r>
              <w:rPr>
                <w:rFonts w:hint="eastAsia" w:ascii="新宋体" w:hAnsi="新宋体" w:eastAsia="新宋体" w:cs="新宋体"/>
                <w:b/>
                <w:bCs/>
                <w:color w:val="auto"/>
                <w:sz w:val="24"/>
                <w:szCs w:val="24"/>
                <w:lang w:val="en-US" w:eastAsia="zh-CN"/>
              </w:rPr>
              <w:t>速发</w:t>
            </w:r>
            <w:r>
              <w:rPr>
                <w:rFonts w:hint="eastAsia" w:ascii="新宋体" w:hAnsi="新宋体" w:eastAsia="新宋体" w:cs="新宋体"/>
                <w:b/>
                <w:bCs/>
                <w:color w:val="auto"/>
                <w:sz w:val="24"/>
                <w:szCs w:val="24"/>
                <w:lang w:eastAsia="zh-CN"/>
              </w:rPr>
              <w:t>烟花爆竹</w:t>
            </w:r>
            <w:r>
              <w:rPr>
                <w:rFonts w:hint="eastAsia" w:ascii="新宋体" w:hAnsi="新宋体" w:eastAsia="新宋体" w:cs="新宋体"/>
                <w:b/>
                <w:bCs/>
                <w:color w:val="auto"/>
                <w:sz w:val="24"/>
                <w:szCs w:val="24"/>
                <w:lang w:val="en-US" w:eastAsia="zh-CN"/>
              </w:rPr>
              <w:t>经营</w:t>
            </w:r>
            <w:r>
              <w:rPr>
                <w:rFonts w:hint="eastAsia" w:ascii="新宋体" w:hAnsi="新宋体" w:eastAsia="新宋体" w:cs="新宋体"/>
                <w:b/>
                <w:bCs/>
                <w:color w:val="auto"/>
                <w:sz w:val="24"/>
                <w:szCs w:val="24"/>
                <w:lang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安全生产规章制度</w:t>
            </w: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sz w:val="24"/>
                <w:szCs w:val="24"/>
              </w:rPr>
              <w:t>文件编号：</w:t>
            </w:r>
            <w:r>
              <w:rPr>
                <w:rFonts w:hint="eastAsia" w:ascii="宋体" w:hAnsi="宋体" w:eastAsia="宋体" w:cs="宋体"/>
                <w:b/>
                <w:bCs/>
                <w:sz w:val="24"/>
                <w:szCs w:val="24"/>
                <w:lang w:val="en-US" w:eastAsia="zh-CN"/>
              </w:rPr>
              <w:t>LZS</w:t>
            </w:r>
            <w:r>
              <w:rPr>
                <w:rFonts w:hint="eastAsia" w:ascii="宋体" w:hAnsi="宋体" w:cs="宋体"/>
                <w:b/>
                <w:bCs/>
                <w:sz w:val="24"/>
                <w:szCs w:val="24"/>
                <w:lang w:val="en-US" w:eastAsia="zh-CN"/>
              </w:rPr>
              <w:t>F</w:t>
            </w:r>
            <w:bookmarkStart w:id="0" w:name="_GoBack"/>
            <w:bookmarkEnd w:id="0"/>
            <w:r>
              <w:rPr>
                <w:rFonts w:hint="eastAsia" w:ascii="宋体" w:hAnsi="宋体" w:eastAsia="宋体" w:cs="宋体"/>
                <w:b/>
                <w:bCs/>
                <w:sz w:val="24"/>
                <w:szCs w:val="24"/>
              </w:rPr>
              <w:t>/G</w:t>
            </w:r>
            <w:r>
              <w:rPr>
                <w:rFonts w:hint="eastAsia" w:ascii="宋体" w:hAnsi="宋体" w:eastAsia="宋体" w:cs="宋体"/>
                <w:b/>
                <w:bCs/>
                <w:sz w:val="24"/>
                <w:szCs w:val="24"/>
                <w:lang w:val="en-US" w:eastAsia="zh-CN"/>
              </w:rPr>
              <w:t>Z</w:t>
            </w:r>
            <w:r>
              <w:rPr>
                <w:rFonts w:hint="eastAsia" w:ascii="宋体" w:hAnsi="宋体" w:eastAsia="宋体" w:cs="宋体"/>
                <w:b/>
                <w:bCs/>
                <w:sz w:val="24"/>
                <w:szCs w:val="24"/>
              </w:rPr>
              <w:t>ZD</w:t>
            </w:r>
            <w:r>
              <w:rPr>
                <w:rFonts w:hint="eastAsia" w:ascii="宋体" w:hAnsi="宋体" w:eastAsia="宋体" w:cs="宋体"/>
                <w:b/>
                <w:bCs/>
                <w:color w:val="000000"/>
                <w:sz w:val="24"/>
                <w:szCs w:val="24"/>
                <w:lang w:val="en-US" w:eastAsia="zh-CN"/>
              </w:rPr>
              <w:t>12</w:t>
            </w:r>
            <w:r>
              <w:rPr>
                <w:rFonts w:hint="eastAsia" w:ascii="宋体" w:hAnsi="宋体" w:eastAsia="宋体" w:cs="宋体"/>
                <w:b/>
                <w:bCs/>
                <w:color w:val="000000"/>
                <w:sz w:val="24"/>
                <w:szCs w:val="24"/>
              </w:rPr>
              <w:t>-20</w:t>
            </w:r>
            <w:r>
              <w:rPr>
                <w:rFonts w:hint="eastAsia" w:ascii="宋体" w:hAnsi="宋体" w:eastAsia="宋体" w:cs="宋体"/>
                <w:b/>
                <w:bCs/>
                <w:color w:val="000000"/>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22"/>
                <w:szCs w:val="22"/>
              </w:rPr>
            </w:pP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页</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共</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restart"/>
            <w:noWrap w:val="0"/>
            <w:vAlign w:val="center"/>
          </w:tcPr>
          <w:p>
            <w:pPr>
              <w:pStyle w:val="3"/>
              <w:spacing w:line="288"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事故隐患报告与举报奖惩制度</w:t>
            </w: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版　　第1次修订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0" w:type="dxa"/>
            <w:vMerge w:val="continue"/>
            <w:noWrap w:val="0"/>
            <w:vAlign w:val="center"/>
          </w:tcPr>
          <w:p>
            <w:pPr>
              <w:spacing w:line="360" w:lineRule="exact"/>
              <w:jc w:val="center"/>
              <w:rPr>
                <w:rFonts w:hint="eastAsia" w:ascii="宋体" w:hAnsi="宋体" w:eastAsia="宋体" w:cs="宋体"/>
                <w:b/>
                <w:bCs/>
                <w:sz w:val="22"/>
                <w:szCs w:val="22"/>
              </w:rPr>
            </w:pP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 xml:space="preserve">颁布日期： </w:t>
            </w:r>
            <w:r>
              <w:rPr>
                <w:rFonts w:hint="eastAsia" w:ascii="宋体" w:hAnsi="宋体" w:eastAsia="宋体" w:cs="宋体"/>
                <w:b/>
                <w:bCs/>
                <w:color w:val="auto"/>
                <w:sz w:val="24"/>
                <w:szCs w:val="24"/>
                <w:lang w:eastAsia="zh-CN"/>
              </w:rPr>
              <w:t>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2" w:hRule="atLeast"/>
        </w:trPr>
        <w:tc>
          <w:tcPr>
            <w:tcW w:w="945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5.3.1公司安全生产领导小组接到安全生产举报案件时，应先进行书面登记编号；</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5.3.2公司安全生产小组受理举报后，按隐患类别书面通知有关部门，由有关部门在2日内对举报情况进行核查处理；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5.3.3核实举报情况基本属实后，有关部门提出处理举报奖励建议，具体奖励金额经安全领导小组同意后，由公司发放举报人。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5.3.4对举报案件处理结果，有关部门应认真审核，凡发现查处事实证据不足或处理不当的，应及时通知经办人员补充调查或另行提出处理意见，在规定时限内办结。</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5.3.5单位职工一经发现事故隐患，立即报告，为及时排除隐患，保障全体员工和公司的生命财产安全争取主动。各部门在所辖范围内要坚持日常安全检查，发现隐患记录在案并及时上报。任何班组和个人发现事故隐患均有权向有关部门举报，对所报告的事故隐患不排除的，员工有权拒绝上岗事故隐患举报内容包括：隐患的现状、存在隐患的地点、发现时间、整改难易程度分析。</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5.4奖励和惩罚</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对安全生产事故隐患排查治理、报告、举报管理实行奖励和惩罚制度。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r>
              <w:rPr>
                <w:rFonts w:hint="default" w:ascii="Times New Roman" w:hAnsi="Times New Roman" w:eastAsia="宋体" w:cs="Times New Roman"/>
                <w:b/>
                <w:bCs/>
                <w:sz w:val="24"/>
                <w:szCs w:val="24"/>
                <w:lang w:val="en-US" w:eastAsia="zh-CN"/>
              </w:rPr>
              <w:t>5.4.1对在安全生产工作成绩突出、防止或挽救安全事故发生、隐患报告和举报的有功人员，要给予荣誉表彰和物质奖</w:t>
            </w:r>
            <w:r>
              <w:rPr>
                <w:rFonts w:hint="eastAsia" w:ascii="宋体" w:hAnsi="宋体" w:eastAsia="宋体" w:cs="宋体"/>
                <w:b/>
                <w:bCs/>
                <w:sz w:val="24"/>
                <w:szCs w:val="24"/>
                <w:lang w:val="en-US" w:eastAsia="zh-CN"/>
              </w:rPr>
              <w:t>50-300元。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5.4.2对提出安全重大合理化建议、及时制止违章避免重大险肇事故或人身伤害事故、消除重大安全隐患、解决安全生产重大问题的职工或单位，经安全科调查属实并签认，都可以报公司请功或--次性重点奖励300- 1000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5.4.3对--般事故隐患未及时进行报告和整改的有关责任人和部门处100- -300元罚款并在公司进行通报。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5.4.4对不及时报告、隐报、瞒报重大事故隐患继续生产的责任人和部门处300- 1000 元罚款并在公司通报。</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TNkNTllMDE5ZTVhNDRkZDkwOGM1MjkzMWRjNTQifQ=="/>
  </w:docVars>
  <w:rsids>
    <w:rsidRoot w:val="146032D8"/>
    <w:rsid w:val="146032D8"/>
    <w:rsid w:val="1E20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Calibri" w:hAnsi="Calibri" w:eastAsia="Times New Roman" w:cs="Times New Roman"/>
      <w:sz w:val="32"/>
      <w:szCs w:val="32"/>
    </w:rPr>
  </w:style>
  <w:style w:type="paragraph" w:styleId="3">
    <w:name w:val="Plain Text"/>
    <w:basedOn w:val="1"/>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1319</Words>
  <Characters>1487</Characters>
  <Lines>0</Lines>
  <Paragraphs>0</Paragraphs>
  <TotalTime>0</TotalTime>
  <ScaleCrop>false</ScaleCrop>
  <LinksUpToDate>false</LinksUpToDate>
  <CharactersWithSpaces>1510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2023-04-26T08:33:00Z</dcterms:created>
  <dc:creator>知欣1397288079</dc:creator>
  <cp:lastModifiedBy>知欣1397288079</cp:lastModifiedBy>
  <dcterms:modified xsi:type="dcterms:W3CDTF">2023-04-26T12:35:06Z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47027A8E8F084D97936B51A0DAEF4D04_11</vt:lpwstr>
  </property>
</Properties>
</file>