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1"/>
          <w:sz w:val="32"/>
          <w:szCs w:val="32"/>
        </w:rPr>
      </w:pPr>
      <w:r>
        <w:rPr>
          <w:rFonts w:ascii="宋体" w:hAnsi="宋体" w:cs="宋体"/>
          <w:b/>
          <w:kern w:val="1"/>
          <w:sz w:val="32"/>
          <w:szCs w:val="32"/>
        </w:rPr>
        <w:t>重大危险源（重点危险部位）监控管理制度</w:t>
      </w:r>
    </w:p>
    <w:tbl>
      <w:tblPr>
        <w:tblStyle w:val="2"/>
        <w:tblW w:w="0" w:type="auto"/>
        <w:tblInd w:w="0" w:type="dxa"/>
        <w:tblLayout w:type="fixed"/>
        <w:tblCellMar>
          <w:top w:w="0" w:type="dxa"/>
          <w:left w:w="108" w:type="dxa"/>
          <w:bottom w:w="0" w:type="dxa"/>
          <w:right w:w="108" w:type="dxa"/>
        </w:tblCellMar>
      </w:tblPr>
      <w:tblGrid>
        <w:gridCol w:w="1253"/>
        <w:gridCol w:w="3542"/>
        <w:gridCol w:w="1387"/>
        <w:gridCol w:w="3480"/>
      </w:tblGrid>
      <w:tr>
        <w:tblPrEx>
          <w:tblCellMar>
            <w:top w:w="0" w:type="dxa"/>
            <w:left w:w="108" w:type="dxa"/>
            <w:bottom w:w="0" w:type="dxa"/>
            <w:right w:w="108" w:type="dxa"/>
          </w:tblCellMar>
        </w:tblPrEx>
        <w:tc>
          <w:tcPr>
            <w:tcW w:w="47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西充县红旗烟花爆竹有限公司</w:t>
            </w:r>
          </w:p>
          <w:p>
            <w:pPr>
              <w:rPr>
                <w:kern w:val="1"/>
              </w:rPr>
            </w:pPr>
            <w:r>
              <w:rPr>
                <w:kern w:val="1"/>
              </w:rPr>
              <w:t>安全生产规章制度</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kern w:val="1"/>
              </w:rPr>
              <w:t>文件编号：GLZD11-</w:t>
            </w:r>
            <w:r>
              <w:rPr>
                <w:rFonts w:hint="eastAsia"/>
                <w:kern w:val="1"/>
                <w:lang w:eastAsia="zh-CN"/>
              </w:rPr>
              <w:t>2020</w:t>
            </w:r>
          </w:p>
        </w:tc>
      </w:tr>
      <w:tr>
        <w:tblPrEx>
          <w:tblCellMar>
            <w:top w:w="0" w:type="dxa"/>
            <w:left w:w="108" w:type="dxa"/>
            <w:bottom w:w="0" w:type="dxa"/>
            <w:right w:w="108" w:type="dxa"/>
          </w:tblCellMar>
        </w:tblPrEx>
        <w:trPr>
          <w:cantSplit/>
          <w:trHeight w:val="56" w:hRule="atLeast"/>
        </w:trPr>
        <w:tc>
          <w:tcPr>
            <w:tcW w:w="47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kern w:val="1"/>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第1页    共1页</w:t>
            </w:r>
          </w:p>
        </w:tc>
      </w:tr>
      <w:tr>
        <w:tblPrEx>
          <w:tblCellMar>
            <w:top w:w="0" w:type="dxa"/>
            <w:left w:w="108" w:type="dxa"/>
            <w:bottom w:w="0" w:type="dxa"/>
            <w:right w:w="108" w:type="dxa"/>
          </w:tblCellMar>
        </w:tblPrEx>
        <w:trPr>
          <w:cantSplit/>
        </w:trPr>
        <w:tc>
          <w:tcPr>
            <w:tcW w:w="4795"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重大危险源（重点危险部位）监控管理制度</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rFonts w:hint="eastAsia"/>
                <w:kern w:val="1"/>
                <w:lang w:eastAsia="zh-CN"/>
              </w:rPr>
              <w:t>2020</w:t>
            </w:r>
            <w:r>
              <w:rPr>
                <w:kern w:val="1"/>
              </w:rPr>
              <w:t>版    第2次修订</w:t>
            </w:r>
          </w:p>
        </w:tc>
      </w:tr>
      <w:tr>
        <w:tblPrEx>
          <w:tblCellMar>
            <w:top w:w="0" w:type="dxa"/>
            <w:left w:w="108" w:type="dxa"/>
            <w:bottom w:w="0" w:type="dxa"/>
            <w:right w:w="108" w:type="dxa"/>
          </w:tblCellMar>
        </w:tblPrEx>
        <w:trPr>
          <w:cantSplit/>
          <w:trHeight w:val="47" w:hRule="atLeast"/>
        </w:trPr>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修订时间</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rFonts w:hint="eastAsia"/>
                <w:kern w:val="1"/>
                <w:lang w:eastAsia="zh-CN"/>
              </w:rPr>
              <w:t>2020-03-20</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颁布日期</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rFonts w:hint="eastAsia"/>
                <w:kern w:val="1"/>
                <w:lang w:eastAsia="zh-CN"/>
              </w:rPr>
              <w:t>2020-03-20</w:t>
            </w:r>
          </w:p>
        </w:tc>
      </w:tr>
      <w:tr>
        <w:tblPrEx>
          <w:tblCellMar>
            <w:top w:w="0" w:type="dxa"/>
            <w:left w:w="108" w:type="dxa"/>
            <w:bottom w:w="0" w:type="dxa"/>
            <w:right w:w="108" w:type="dxa"/>
          </w:tblCellMar>
        </w:tblPrEx>
        <w:trPr>
          <w:cantSplit/>
          <w:trHeight w:val="47" w:hRule="atLeast"/>
        </w:trPr>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编制人员</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赵从明</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审批人员</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杨文忠</w:t>
            </w:r>
          </w:p>
        </w:tc>
      </w:tr>
      <w:tr>
        <w:tblPrEx>
          <w:tblCellMar>
            <w:top w:w="0" w:type="dxa"/>
            <w:left w:w="108" w:type="dxa"/>
            <w:bottom w:w="0" w:type="dxa"/>
            <w:right w:w="108" w:type="dxa"/>
          </w:tblCellMar>
        </w:tblPrEx>
        <w:trPr>
          <w:cantSplit/>
          <w:trHeight w:val="11514" w:hRule="atLeast"/>
        </w:trPr>
        <w:tc>
          <w:tcPr>
            <w:tcW w:w="9662" w:type="dxa"/>
            <w:gridSpan w:val="4"/>
            <w:tcBorders>
              <w:top w:val="single" w:color="000000" w:sz="4" w:space="0"/>
              <w:left w:val="single" w:color="000000" w:sz="4" w:space="0"/>
              <w:bottom w:val="single" w:color="000000" w:sz="4" w:space="0"/>
              <w:right w:val="single" w:color="000000" w:sz="4" w:space="0"/>
            </w:tcBorders>
            <w:noWrap w:val="0"/>
            <w:vAlign w:val="top"/>
          </w:tcPr>
          <w:p>
            <w:pPr>
              <w:rPr>
                <w:kern w:val="1"/>
              </w:rPr>
            </w:pPr>
            <w:r>
              <w:rPr>
                <w:kern w:val="1"/>
              </w:rPr>
              <w:t>1、为了进一步加强本公司重大危险源（重点危险部位）管理，有效预防重大事故发生，保障企业财产和职工生命安全，根据《中华人民共和国安全生产法》、《重大危险源辨识》和《关于开展重大危险源监督管理工作的指导意见》，结合本公司实际，特制定本制度。</w:t>
            </w:r>
          </w:p>
          <w:p>
            <w:pPr>
              <w:rPr>
                <w:kern w:val="1"/>
              </w:rPr>
            </w:pPr>
            <w:r>
              <w:rPr>
                <w:kern w:val="1"/>
              </w:rPr>
              <w:t>2、本制度所称重大危险源，是指长期生产、搬运、使用、储存危险物品，且危险物品的数量等于或者超过临界量的单元。</w:t>
            </w:r>
          </w:p>
          <w:p>
            <w:pPr>
              <w:rPr>
                <w:kern w:val="1"/>
              </w:rPr>
            </w:pPr>
            <w:r>
              <w:rPr>
                <w:kern w:val="1"/>
              </w:rPr>
              <w:t>3、本制度适用于本公司范围内存在重大危险源的生产车间、原材料仓库、成品仓库场所的监督和管理。</w:t>
            </w:r>
          </w:p>
          <w:p>
            <w:pPr>
              <w:rPr>
                <w:kern w:val="1"/>
              </w:rPr>
            </w:pPr>
            <w:r>
              <w:rPr>
                <w:kern w:val="1"/>
              </w:rPr>
              <w:t>4、重大危险源进场后经各车间主任和仓库保管人员负责本范围内重大危险源的登记、上报与管理监控工作。</w:t>
            </w:r>
          </w:p>
          <w:p>
            <w:pPr>
              <w:rPr>
                <w:kern w:val="1"/>
              </w:rPr>
            </w:pPr>
            <w:r>
              <w:rPr>
                <w:kern w:val="1"/>
              </w:rPr>
              <w:t>5、公司安全部门负责指导协调检查监督重大危险源的管理工作。</w:t>
            </w:r>
          </w:p>
          <w:p>
            <w:pPr>
              <w:rPr>
                <w:rFonts w:hint="eastAsia" w:eastAsia="宋体"/>
                <w:kern w:val="1"/>
                <w:lang w:eastAsia="zh-CN"/>
              </w:rPr>
            </w:pPr>
            <w:r>
              <w:rPr>
                <w:kern w:val="1"/>
              </w:rPr>
              <w:t>6、重大危险源所在部门应加强对重大危险源监控管理，并将此项工作纳入安全生产目标管理考核体系。</w:t>
            </w:r>
          </w:p>
          <w:p>
            <w:pPr>
              <w:rPr>
                <w:kern w:val="1"/>
              </w:rPr>
            </w:pPr>
            <w:r>
              <w:rPr>
                <w:kern w:val="1"/>
              </w:rPr>
              <w:t xml:space="preserve">    7、重大危险源所在部门应对本部门存在的重大危险源进行登记建档。</w:t>
            </w:r>
          </w:p>
          <w:p>
            <w:pPr>
              <w:rPr>
                <w:kern w:val="1"/>
              </w:rPr>
            </w:pPr>
            <w:r>
              <w:rPr>
                <w:kern w:val="1"/>
              </w:rPr>
              <w:t>8、企业安全部门至少每年需委托具备安全评价资质的评价机构对重大危险源进行安全评价。评价机构对《安全评价报告》的内容和结果负责。</w:t>
            </w:r>
          </w:p>
          <w:p>
            <w:pPr>
              <w:rPr>
                <w:kern w:val="1"/>
              </w:rPr>
            </w:pPr>
            <w:r>
              <w:rPr>
                <w:kern w:val="1"/>
              </w:rPr>
              <w:t>9、重大危险源所在部门要对本部门区域范围内的重大危险源做好监督控制管理工作，安全部门要对执行情况定期监督检查与考核。</w:t>
            </w:r>
          </w:p>
          <w:p>
            <w:pPr>
              <w:rPr>
                <w:kern w:val="1"/>
              </w:rPr>
            </w:pPr>
            <w:r>
              <w:rPr>
                <w:kern w:val="1"/>
              </w:rPr>
              <w:t>10、重大危险源所在部门应根据本部门重大危险源的级别，采取有效的措施进行监控管理。单位主要负责人对本单位的重大危险源管理监控工作全面负责，并确定重大危险源管理与监控的具体负责人。</w:t>
            </w:r>
          </w:p>
          <w:p>
            <w:pPr>
              <w:rPr>
                <w:kern w:val="1"/>
              </w:rPr>
            </w:pPr>
            <w:r>
              <w:rPr>
                <w:kern w:val="1"/>
              </w:rPr>
              <w:t>11、重大危险源场所由公司部监控室负责监控，监控室必须建立有效的动态监控系统，进行24小时的监控，随时掌握危险区域危险源的变化情况，发现问题立即进行处理，如实登记每天监控的情况，及时对监控设施进行维护及维修，确保监控系统正常运转。</w:t>
            </w:r>
          </w:p>
          <w:p>
            <w:pPr>
              <w:rPr>
                <w:kern w:val="1"/>
              </w:rPr>
            </w:pPr>
            <w:r>
              <w:rPr>
                <w:kern w:val="1"/>
              </w:rPr>
              <w:t>12、单位负责人应保证重大危险源安全管理与监控所需的资金投入。</w:t>
            </w:r>
          </w:p>
          <w:p>
            <w:pPr>
              <w:rPr>
                <w:kern w:val="1"/>
              </w:rPr>
            </w:pPr>
            <w:r>
              <w:rPr>
                <w:kern w:val="1"/>
              </w:rPr>
              <w:t>13、对存在安全隐患的重大危险源，所在班组必须立即进行整改，整改期间必须采取切实可行的安全措施，明确安全负责人，并及时上报安全部门。</w:t>
            </w:r>
          </w:p>
          <w:p>
            <w:pPr>
              <w:rPr>
                <w:kern w:val="1"/>
              </w:rPr>
            </w:pPr>
            <w:r>
              <w:rPr>
                <w:kern w:val="1"/>
              </w:rPr>
              <w:t>14、危险源监控室操作人员每月要对重大危险源的设备和安全设施进行定期检测、检验，做好检测和检验记录。</w:t>
            </w:r>
          </w:p>
          <w:p>
            <w:pPr>
              <w:rPr>
                <w:kern w:val="1"/>
              </w:rPr>
            </w:pPr>
            <w:r>
              <w:rPr>
                <w:kern w:val="1"/>
              </w:rPr>
              <w:t>15、安全部门应定期对重大危险源进行专项监督检查，发现重大危险源存在事故隐患应责令所在班组立即整改；在整改前或整改期间无法保证安全的，应责令从危险区域内撤出作业人员，暂时停工、作业；对不能立即整改的，要限期完成整改，并采取切实有效的监控措施。</w:t>
            </w:r>
          </w:p>
          <w:p>
            <w:pPr>
              <w:rPr>
                <w:kern w:val="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TNiOTk3M2UyMTlhNjM3N2EyNWU2MTFiNGYzZDcifQ=="/>
  </w:docVars>
  <w:rsids>
    <w:rsidRoot w:val="2D0046A9"/>
    <w:rsid w:val="2D0046A9"/>
    <w:rsid w:val="330C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571</Characters>
  <Lines>0</Lines>
  <Paragraphs>0</Paragraphs>
  <TotalTime>0</TotalTime>
  <ScaleCrop>false</ScaleCrop>
  <LinksUpToDate>false</LinksUpToDate>
  <CharactersWithSpaces>579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林林</dc:creator>
  <cp:lastModifiedBy>林林</cp:lastModifiedBy>
  <dcterms:modified xsi:type="dcterms:W3CDTF">2023-04-20T06:19:13Z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21CE596AD6104475AFF9AF163319136C_13</vt:lpwstr>
  </property>
</Properties>
</file>