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eastAsia" w:ascii="宋体" w:hAnsi="宋体" w:eastAsia="宋体" w:cs="宋体"/>
          <w:sz w:val="28"/>
          <w:szCs w:val="28"/>
        </w:rPr>
        <w:t xml:space="preserve">— 1 — </w:t>
      </w:r>
    </w:p>
    <w:p>
      <w:pPr>
        <w:pStyle w:val="2"/>
        <w:keepNext w:val="0"/>
        <w:keepLines w:val="0"/>
        <w:widowControl/>
        <w:suppressLineNumbers w:val="0"/>
        <w:ind w:left="225"/>
      </w:pPr>
      <w:r>
        <w:rPr>
          <w:rFonts w:hint="default" w:ascii="方正小标宋_GBK" w:hAnsi="方正小标宋_GBK" w:eastAsia="方正小标宋_GBK" w:cs="方正小标宋_GBK"/>
          <w:color w:val="EB400B"/>
          <w:sz w:val="78"/>
          <w:szCs w:val="78"/>
        </w:rPr>
        <w:t>国家电网有限公司文件</w:t>
      </w:r>
      <w:r>
        <w:rPr>
          <w:rFonts w:hint="default" w:ascii="方正小标宋_GBK" w:hAnsi="方正小标宋_GBK" w:eastAsia="方正小标宋_GBK" w:cs="方正小标宋_GBK"/>
          <w:sz w:val="78"/>
          <w:szCs w:val="7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1860"/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国家电网企管〔2020〕 40 号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540"/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国家电网有限公司关于印发《国家电网</w:t>
      </w:r>
    </w:p>
    <w:p>
      <w:pPr>
        <w:pStyle w:val="2"/>
        <w:keepNext w:val="0"/>
        <w:keepLines w:val="0"/>
        <w:widowControl/>
        <w:suppressLineNumbers w:val="0"/>
        <w:ind w:left="705"/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有限公司安全工作奖惩规定》 的通知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总部各部门，各分部， 公司各单位：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公司组织修订了 《国家电网有限公司安全工作奖惩规定》 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经公司 2020年第 2 次党组会议和公司三届五次职代会审议通过，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现予印发，请认真贯彻落实。</w:t>
      </w:r>
    </w:p>
    <w:p>
      <w:pPr>
        <w:pStyle w:val="2"/>
        <w:keepNext w:val="0"/>
        <w:keepLines w:val="0"/>
        <w:widowControl/>
        <w:suppressLineNumbers w:val="0"/>
        <w:ind w:left="3780"/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国家电网有限公司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2020 年 2 月 20 日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（此件发至收文单位所属各级单位）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ascii="黑体" w:hAnsi="宋体" w:eastAsia="黑体" w:cs="黑体"/>
          <w:sz w:val="24"/>
          <w:szCs w:val="24"/>
        </w:rPr>
        <w:t xml:space="preserve">规章制度编号：国网（安监/3）480-2020 </w:t>
      </w:r>
    </w:p>
    <w:p>
      <w:pPr>
        <w:pStyle w:val="2"/>
        <w:keepNext w:val="0"/>
        <w:keepLines w:val="0"/>
        <w:widowControl/>
        <w:suppressLineNumbers w:val="0"/>
        <w:ind w:left="600"/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 xml:space="preserve">国家电网有限公司安全工作奖惩规定 </w:t>
      </w:r>
    </w:p>
    <w:p>
      <w:pPr>
        <w:pStyle w:val="2"/>
        <w:keepNext w:val="0"/>
        <w:keepLines w:val="0"/>
        <w:widowControl/>
        <w:suppressLineNumbers w:val="0"/>
        <w:ind w:left="240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第一章 总 则 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第一条 为规范和加强国家电网有限公司（以下简称“公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司” ） 安全管理工作，建立健全安全激励约束机制，落实各级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安全责任，严格事故责任追究和考核，在安全工作中做到奖惩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分明， 依据《中华人民共和国安全生产法》 《中华人民共和国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监察法》 《生产安全事故报告和调查处理条例》 《电力安全事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故应急处置和调查处理条例》 等法律法规，《中国共产党问责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条例》 《中国共产党纪律处分条例》 等党纪党规，以及公司相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关规章制度， 制定本规定。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第二条 公司按照精神鼓励与物质奖励相结合、 思想教育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与处罚相结合的原则，实行安全目 标管理、 过程管控和以责论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处的安全奖惩制度。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第三条 公司所属各级单位应建立健全本单位安全奖惩工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作机制，坚持依法合规、 奖罚分明，制定安全奖惩实施办法，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细化奖惩项目、 标准，规范实施流程、 职责，明确兑现方式、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周期， 及时开展安全奖惩并做好记录。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第四条 本规定适用于公司总部、 分部及所属各级单位。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第二章 职责分工 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第五条 公司各级安全监察部门负责牵头安全奖惩工作，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提出、 审核相关安全奖惩意见并督促落实，根据事故调查结论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提出、 汇总、 审核、 呈报对事故责任单位和人员的处罚意见。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公司各级职能部门或专业， 负责提出涉及专业相关人员的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奖惩意见。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公司各级组织和人力资源部门，负责审核、 落实相关安全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奖惩。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在事故调查结论基础上，进行党纪处分的，移交纪检监察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机构， 由各级纪检监察机构按照管理权限提出党纪处分建议。 </w:t>
      </w:r>
    </w:p>
    <w:p>
      <w:pPr>
        <w:pStyle w:val="2"/>
        <w:keepNext w:val="0"/>
        <w:keepLines w:val="0"/>
        <w:widowControl/>
        <w:suppressLineNumbers w:val="0"/>
        <w:ind w:left="240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第三章 奖 励 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第六条 各级单位应建立健全安全奖励机制，及时对实现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安全目 标、 作出突出贡献、 安全生产业绩优秀等的单位（集体）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和个人予以奖励。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第七条 省级公司应设立安全生产专项奖，专款专用。 其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中，安全生产一类和二类单位每年安全生产专项奖额度不得低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于年度工资总额的 1.5%。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第八条 安全奖励应重点向基层一线人员倾斜，一线人员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奖励范围所占比例不少于 50%，奖励额度所占比例不少于 70%，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奖励最高水平不低于平均水平的 2 倍。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第九条 安全目 标奖励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（一） 实现安全目标表扬。 公司对实现安全目标的生产经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营单位进行通报表扬，对实现安全目标单位中作出突出贡献的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安全生产先进个人进行通报表扬。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（二） 安全周期奖励。 省级公司对连续一个安全周期（年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度、 百日等） 未发生中断安全记录事件的单位进行奖励。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第十条 安全贡献奖励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各单位应对作出如下贡献的单位（集体）、 个人进行奖励。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（一） 及时发现、 消除重大事故隐患，避免事故发生。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（二） 有效管控重大安全风险，防止风险失控。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（三） 正确处置电网设备故障，有效防止事故扩大。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（四） 圆满完成重大保电任务，全面实现保电工作目标。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（五） 科学高效抢险救灾， 及时恢复供电。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（六） 解决安全生产重大管理或技术问题，提升本质安全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水平。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第十一条 各单位应结合实际，合理设置奖励项目，明确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具体奖励标准， 及时对安全生产过程中业绩优秀的单位（集体）、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个人进行奖励，用足用好安全生产专项奖。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第十二条 安全相关表彰项目设置、 奖励标准等按公司评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比表彰相关规定执行。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第十三条 公司按照企业负责人业绩考核有关规定，每年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对省级公司及其领导班子成员安全工作情况进行考核。 </w:t>
      </w:r>
    </w:p>
    <w:p>
      <w:pPr>
        <w:pStyle w:val="2"/>
        <w:keepNext w:val="0"/>
        <w:keepLines w:val="0"/>
        <w:widowControl/>
        <w:suppressLineNumbers w:val="0"/>
        <w:ind w:left="240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第四章 处 罚 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第十四条 公司所属各级单位应建立健全安全处罚机制，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按照职责管理范围和安全责任，对安全工作情况进行考核，对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发生事故的单位及责任人员进行处罚。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第十五条 发生责任性或造成不良影响事件、 未有效履行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安全生产职责、 未有效落实安全生产工作部署、 未有效执行安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全生产制度规程等情形的， 上级单位应约谈有关单位负责人和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相关人员，并责令限期改正。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第十六条 发生一般及以上人身事故、 五级及以上责任性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电网和设备事件、 六级及以上责任性信息系统事件，或发生造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成重大影响事件后， 相关单位应在发生之日起的两周内到总部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“说清楚” 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第十七条 发生公司《安全事故调查规程》 规定的中断安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全记录事件的，应中断责任单位安全记录，并进行通报。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第十八条 事故处罚依据事故调查结论，对照安全责任，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按照管理权限，对有关责任人员进行纪律处分、 组织处理、 经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济处罚（具体处罚标准见附件）。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第十九条 公司按照《企业负责人业绩考核管理办法》《关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于加强安全生产奖惩管理的意见》 等规定，对发生事故且负有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责任的省级公司，核减其当年工资总额， 扣减其企业负责人绩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效年薪。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第二十条 公司所属各单位一年内重复发生事故或性质恶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劣事件，对有关单位和人员按照相关条款上限或提高一个等级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进行处罚。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第二十一条 公司所属各级单位有下列情况之一的，根据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事故类别和级别，对有关单位和人员按照相关条款至少提高一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个事故等级进行处罚，对主要策划者和决策人按事故主要责任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者给予处罚。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（一） 谎报、 瞒报、 迟报事故的。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（二） 伪造或故意破坏事故现场的。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（三） 销毁有关证据、 资料的。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（四） 干扰、 躲避、 阻碍、 拒绝事故调查的或拒绝提供有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关情况和资料的。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（五） 在事故调查中作伪证或指使他人作伪证的。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（六） 事故发生后逃匿的。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（七） 事故发生后不立即组织抢救或事故调查处理期间擅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离职守的。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（八） 打击、 报复、 陷害检举人、 证人及其他相关人员的。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（九） 采取不正当行为，拉拢、 收买调查处理人员的。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第二十二条 政府部门依法依规对事故相关责任人员进行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处罚的，公司不再重复处罚。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第二十三条 事故责任人员为中共党员的，除执行本规定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外，还应按照《中国共产党问责条例》 《中国共产党纪律处分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条例》 等党纪党规和公司纪律审查有关规定，给予相应的组织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处理或党纪处分。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第二十四条 本规定所涉及的事故处罚中，未明确的其他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有关责任人员参照本规定给予相应处罚。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第二十五条 同一事故（事件）中，对同一责任单位、 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员的处罚，根据公司相关制度规定，按照就高原则执行。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第二十六条 对未实现安全目标的单位（集体）、 负有事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故责任的个人，在评先、 评优等方面实行“一票否决” 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第二十七条 发生事故各级单位的主要领导、 分管领导依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照本规定受到撤职处分的， 自受处分之日起，五年内不得担任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公司所属生产经营单位的主要领导。 </w:t>
      </w:r>
    </w:p>
    <w:p>
      <w:pPr>
        <w:pStyle w:val="2"/>
        <w:keepNext w:val="0"/>
        <w:keepLines w:val="0"/>
        <w:widowControl/>
        <w:suppressLineNumbers w:val="0"/>
        <w:ind w:left="240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第五章 附 则 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第二十八条 本规定考核事故不包括因雨雪冰冻、 暴风雪、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洪水、 地震、 泥石流等自然灾害超过设计标准承受能力和因不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可抗力发生的事故。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第二十九条 本规定和依据本规定做出的处理结果不作为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判定刑事、 行政、 民事责任的依据。</w:t>
      </w:r>
    </w:p>
    <w:p>
      <w:pPr>
        <w:pStyle w:val="2"/>
        <w:keepNext w:val="0"/>
        <w:keepLines w:val="0"/>
        <w:widowControl/>
        <w:suppressLineNumbers w:val="0"/>
        <w:ind w:left="48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第三十条 本规定由国网安监部负责解释并监督执行。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第三十一条 本规定自 2020 年 2 月 25 日起施行。 原《国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家电网公司安全工作奖惩规定》 （国家电网企管〔2015〕 266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号之国网（安监/3）480-2015）同时废止。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附件： 事故责任人员处罚标准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附件 </w:t>
      </w:r>
    </w:p>
    <w:p>
      <w:pPr>
        <w:pStyle w:val="2"/>
        <w:keepNext w:val="0"/>
        <w:keepLines w:val="0"/>
        <w:widowControl/>
        <w:suppressLineNumbers w:val="0"/>
        <w:ind w:left="1590"/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 xml:space="preserve">事故责任人员处罚标准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一、 公司所属各级单位发生特别重大事故， 按以下规定处罚： </w:t>
      </w:r>
      <w:r>
        <w:rPr>
          <w:rFonts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（一）负 主要及同等责任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对省级公司主要领导、有关分管领导给予记过至撤职处分。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对省级公司有关责任部门负责人给予记大过至撤职处分。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对事故责任单位(基层单位) 主要领导、有关分管领导给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予降级至撤职处分。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对主要责任者所在单位二级机构（工地、 分场、 工区、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室、 所、 队等，下同）负责人给予撤职至留用察看两年处分。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5. 对主要责任者、 同等责任者给予解除劳动合同处分。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6. 对次要责任者给予留用察看两年至解除劳动合同处分。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7. 对上述有关责任人员给予 30000～50000 元的经济处罚。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（二）负 次要责任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对省级公司主要领导给予记过至降级处分。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对省级公司有关分管领导给予记过至撤职处分。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对省级公司有关责任部门负责人给予记过至撤职处分。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4. 对事故责任单位(基层单位) 主要领导、有关分管领导给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予记大过至撤职处分。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5. 对主要责任者所在单位二级机构负责人给予降级至留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用察看一年处分。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6. 对主要责任者、同等责任者给予留用察看两年至解除劳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动合同处分。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7. 对次要责任者给予留用察看一年至解除劳动合同处分。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8. 对上述有关责任人员给予 20000～40000 元的经济处罚。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二、 公司所属各级单位发生重大事故，按以下规定处罚：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（一）负 主要及同等责任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对省级公司主要领导、有关分管领导给予记过至降级处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分。 性质特别严重的，责令主要领导、 有关分管领导辞职。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对省级公司有关责任部门负责人给予记过至撤职处分。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对事故责任单位(基层单位) 主要领导、有关分管领导给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予记大过至撤职处分。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对主要责任者所在单位二级机构负责人给予撤职至留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用察看一年处分。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5. 对主要责任者、同等责任者给予留用察看两年至解除劳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动合同处分。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6. 对次要责任者给予留用察看一年至解除劳动合同处分。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7. 对上述有关责任人员给予 20000～40000 元的经济处罚。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（二）负 次要责任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对省级公司主要领导给予警告至记过处分。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对省级公司有关分管领导给予警告至记大过处分。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3. 对省级公司有关责任部门负责人给予警告至记大过处分。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对事故责任单位(基层单位) 主要领导给予记过至记大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过处分。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5. 对事故责任单位(基层单位) 有关分管领导给予记过至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6. 对主要责任者所在单位二级机构负责人给予记大过至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留用察看一年处分。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7. 对主要责任者、同等责任者给予留用察看一年至解除劳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动合同处分。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8. 对次要责任者给予留用察看一年至两年处分。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9. 对上述有关责任人员给予 10000～30000 元的经济处罚。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三、 公司所属各级单位发生较大事故，按以下规定处罚：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（一）负 主要及同等责任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对省级公司主要领导、有关分管领导给予警告至记大过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对省级公司有关责任部门负责人给予记过至降级处分。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对事故责任单位(基层单位) 主要领导、有关分管领导给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予记过至撤职处分。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对主要责任者所在单位二级机构负责人给予记大过至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撤职处分。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5. 对主要责任者、同等责任者给予留用察看一年至解除劳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动合同处分。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6. 对次要责任者给予记大过至留用察看两年处分。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7. 对上述有关责任人员给予 10000～30000 元的经济处罚。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（二）负 次要责任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对省级公司有关分管领导给予通报批评。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对省级公司有关责任部门负责人给予通报批评。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对事故责任单位(基层单位) 主要领导给予通报批评或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警告处分。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对事故责任单位(基层单位)有关分管领导给予警告处分。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5. 对主要责任者所在单位二级机构负责人给予记过至记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大过处分。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6. 对主要责任者、同等责任者给予留用察看一年至两年处分。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7. 对次要责任者给予记大过至留用察看一年处分。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8. 对上述有关责任人员给予 10000～20000 元的经济处罚。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四、 公司所属各级单位发生一般事故，按以下规定处罚：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（一）人身事故主要及同等责任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对事故责任单位（基层单位） 主要领导、 有关分管领导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给予通报批评或警告至记过处分。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2. 对主要责任者所在单位二级机构负责人给予警告至降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级处分。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3. 对主要责任者给予记过至解除劳动合同处分。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4. 对同等责任者给予记过至留用察看两年处分。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5. 对次要责任者给予警告至留用察看一年处分。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6. 对上述有关责任人员给予 10000～20000 元的经济处罚。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（二）人身事故次要责任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对事故责任单位（基层单位） 主要领导、 有关分管领导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给予通报批评。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2. 对主要责任者所在单位二级机构负责人给予通报批评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或警告处分。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3. 对主要责任者给予记过至记大过处分。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4. 对同等责任者给予警告至记大过处分。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5. 对次要责任者给予警告至记过处分。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6. 对上述有关责任人员给予 5000～10000 元的经济处罚。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（三）其他事故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对事故责任单位（基层单位） 主要领导、 有关分管领导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给予通报批评。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2. 对主要责任者所在单位二级机构负责人给予通报批评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或警告处分。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3. 对主要责任者给予记过至记大过处分。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4. 对同等责任者给予警告至记大过处分。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5. 对次要责任者给予警告至记过处分。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6. 对上述有关责任人员给予 5000～10000 元的经济处罚。 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五、 公司所属各级单位发生五级事件，按以下规定处罚：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对主要责任者所在单位二级机构负责人给予通报批评。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对主要责任者给予警告至记过处分。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3. 对同等责任者给予通报批评或警告至记过处分。 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4. 对次要责任者给予通报批评或警告处分。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5. 对事故责任单位（基层单位） 有关领导及上述有关责任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人员给予 3000～5000 元的经济处罚。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六、 公司所属各级单位发生六级事件，按以下规定处罚：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对主要责任者给予通报批评或警告至记过处分。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对同等责任者给予通报批评或警告处分。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对次要责任者给予通报批评。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4. 对事故责任单位（基层单位） 有关分管领导、 责任者所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在单位二级机构负责人及上述有关责任人员给予 2000～3000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元的经济处罚。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七、 公司所属各级单位发生七级事件，按以下规定处罚：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对主要责任者给予通报批评或警告处分。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对同等责任者给予通报批评。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3. 对事故责任者所在单位二级机构负责人及上述有关责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任人员给予 1000～2000 元的经济处罚。 </w:t>
      </w:r>
    </w:p>
    <w:p>
      <w:pPr>
        <w:pStyle w:val="2"/>
        <w:keepNext w:val="0"/>
        <w:keepLines w:val="0"/>
        <w:widowControl/>
        <w:suppressLineNumbers w:val="0"/>
        <w:ind w:left="465"/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八、 公司所属各级单位发生八级事件，按以下规定处罚： 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1. 对主要责任者给予通报批评。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2. 对事故责任者所在单位二级机构负责人及上述有关责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任人员给 500～1000 元的经济处罚。 </w:t>
      </w: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  <w:rPr>
          <w:rFonts w:hint="default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>抄送： 驻公司纪检监察组。</w:t>
      </w:r>
    </w:p>
    <w:p>
      <w:pPr>
        <w:pStyle w:val="2"/>
        <w:keepNext w:val="0"/>
        <w:keepLines w:val="0"/>
        <w:widowControl/>
        <w:suppressLineNumbers w:val="0"/>
        <w:ind w:left="0"/>
      </w:pPr>
      <w:r>
        <w:rPr>
          <w:rFonts w:hint="default" w:ascii="方正仿宋_GBK" w:hAnsi="方正仿宋_GBK" w:eastAsia="方正仿宋_GBK" w:cs="方正仿宋_GBK"/>
          <w:sz w:val="28"/>
          <w:szCs w:val="28"/>
        </w:rPr>
        <w:t xml:space="preserve">国家电网有限公司办公室 2020 年 2 月 20 日印发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mYyZGQxY2FmMjY4ZDE1MWU1ZGM0MmM5ZTY5YWYifQ=="/>
  </w:docVars>
  <w:rsids>
    <w:rsidRoot w:val="00000000"/>
    <w:rsid w:val="29635EE5"/>
    <w:rsid w:val="2C1C3DAC"/>
    <w:rsid w:val="394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5127</Words>
  <Characters>5345</Characters>
  <Lines>0</Lines>
  <Paragraphs>0</Paragraphs>
  <TotalTime>4</TotalTime>
  <ScaleCrop>false</ScaleCrop>
  <LinksUpToDate>false</LinksUpToDate>
  <CharactersWithSpaces>5715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2023-04-18T09:53:00Z</dcterms:created>
  <dc:creator>Administrator</dc:creator>
  <cp:lastModifiedBy>Administrator</cp:lastModifiedBy>
  <dcterms:modified xsi:type="dcterms:W3CDTF">2023-04-18T10:01:22Z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B80A20FF4F564337A24F997CE906E908_12</vt:lpwstr>
  </property>
</Properties>
</file>