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2E" w:rsidRDefault="003C142E">
      <w:pPr>
        <w:pStyle w:val="a6"/>
        <w:spacing w:line="288" w:lineRule="auto"/>
        <w:rPr>
          <w:rFonts w:ascii="仿宋_GB2312" w:eastAsia="仿宋_GB2312" w:hAnsi="仿宋_GB2312" w:cs="仿宋_GB2312"/>
          <w:b/>
        </w:rPr>
      </w:pP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5"/>
        <w:gridCol w:w="4832"/>
      </w:tblGrid>
      <w:tr w:rsidR="003C142E">
        <w:trPr>
          <w:trHeight w:val="140"/>
        </w:trPr>
        <w:tc>
          <w:tcPr>
            <w:tcW w:w="4755" w:type="dxa"/>
            <w:vMerge w:val="restart"/>
            <w:vAlign w:val="center"/>
          </w:tcPr>
          <w:p w:rsidR="003C142E" w:rsidRDefault="005F5F87">
            <w:pPr>
              <w:spacing w:line="400" w:lineRule="exact"/>
              <w:rPr>
                <w:rFonts w:ascii="方正粗黑宋简体" w:eastAsia="方正粗黑宋简体" w:hAnsi="方正粗黑宋简体" w:cs="仿宋_GB2312"/>
                <w:b/>
                <w:bCs/>
                <w:sz w:val="24"/>
              </w:rPr>
            </w:pPr>
            <w:r>
              <w:rPr>
                <w:rFonts w:ascii="方正粗黑宋简体" w:eastAsia="方正粗黑宋简体" w:hAnsi="方正粗黑宋简体" w:cs="宋体" w:hint="eastAsia"/>
                <w:b/>
                <w:bCs/>
                <w:sz w:val="24"/>
              </w:rPr>
              <w:t>南充顺百安商贸有限公司</w:t>
            </w:r>
          </w:p>
          <w:p w:rsidR="003C142E" w:rsidRDefault="005F5F87">
            <w:pPr>
              <w:spacing w:line="320" w:lineRule="exact"/>
              <w:rPr>
                <w:rFonts w:ascii="方正粗黑宋简体" w:eastAsia="方正粗黑宋简体" w:hAnsi="方正粗黑宋简体" w:cs="仿宋_GB2312"/>
                <w:b/>
                <w:sz w:val="24"/>
              </w:rPr>
            </w:pPr>
            <w:r>
              <w:rPr>
                <w:rFonts w:ascii="方正粗黑宋简体" w:eastAsia="方正粗黑宋简体" w:hAnsi="方正粗黑宋简体" w:cs="仿宋_GB2312" w:hint="eastAsia"/>
                <w:b/>
                <w:bCs/>
                <w:sz w:val="24"/>
              </w:rPr>
              <w:t>安全生产规章制度</w:t>
            </w:r>
          </w:p>
        </w:tc>
        <w:tc>
          <w:tcPr>
            <w:tcW w:w="4832" w:type="dxa"/>
            <w:vAlign w:val="center"/>
          </w:tcPr>
          <w:p w:rsidR="003C142E" w:rsidRDefault="005F5F87">
            <w:pPr>
              <w:spacing w:line="400" w:lineRule="exact"/>
              <w:rPr>
                <w:rFonts w:ascii="方正粗黑宋简体" w:eastAsia="方正粗黑宋简体" w:hAnsi="方正粗黑宋简体" w:cs="仿宋_GB2312"/>
                <w:b/>
                <w:bCs/>
                <w:sz w:val="24"/>
              </w:rPr>
            </w:pPr>
            <w:r>
              <w:rPr>
                <w:rFonts w:ascii="方正粗黑宋简体" w:eastAsia="方正粗黑宋简体" w:hAnsi="方正粗黑宋简体" w:cs="仿宋_GB2312" w:hint="eastAsia"/>
                <w:b/>
                <w:bCs/>
                <w:sz w:val="24"/>
              </w:rPr>
              <w:t>文件编号：</w:t>
            </w:r>
            <w:r w:rsidR="00016B23">
              <w:rPr>
                <w:rFonts w:ascii="方正粗黑宋简体" w:eastAsia="方正粗黑宋简体" w:hAnsi="方正粗黑宋简体" w:cs="仿宋_GB2312" w:hint="eastAsia"/>
                <w:b/>
                <w:bCs/>
                <w:sz w:val="24"/>
              </w:rPr>
              <w:t>2023</w:t>
            </w:r>
            <w:r>
              <w:rPr>
                <w:rFonts w:ascii="方正粗黑宋简体" w:eastAsia="方正粗黑宋简体" w:hAnsi="方正粗黑宋简体" w:cs="仿宋_GB2312" w:hint="eastAsia"/>
                <w:b/>
                <w:bCs/>
                <w:sz w:val="24"/>
              </w:rPr>
              <w:t>-006-010</w:t>
            </w:r>
          </w:p>
        </w:tc>
      </w:tr>
      <w:tr w:rsidR="003C142E">
        <w:trPr>
          <w:cantSplit/>
          <w:trHeight w:val="92"/>
        </w:trPr>
        <w:tc>
          <w:tcPr>
            <w:tcW w:w="4755" w:type="dxa"/>
            <w:vMerge/>
            <w:vAlign w:val="center"/>
          </w:tcPr>
          <w:p w:rsidR="003C142E" w:rsidRDefault="003C142E">
            <w:pPr>
              <w:spacing w:line="320" w:lineRule="exact"/>
              <w:rPr>
                <w:rFonts w:ascii="方正粗黑宋简体" w:eastAsia="方正粗黑宋简体" w:hAnsi="方正粗黑宋简体" w:cs="仿宋_GB2312"/>
                <w:b/>
                <w:sz w:val="24"/>
              </w:rPr>
            </w:pPr>
          </w:p>
        </w:tc>
        <w:tc>
          <w:tcPr>
            <w:tcW w:w="4832" w:type="dxa"/>
            <w:vAlign w:val="center"/>
          </w:tcPr>
          <w:p w:rsidR="003C142E" w:rsidRDefault="005F5F87">
            <w:pPr>
              <w:spacing w:line="400" w:lineRule="exact"/>
              <w:rPr>
                <w:rFonts w:ascii="方正粗黑宋简体" w:eastAsia="方正粗黑宋简体" w:hAnsi="方正粗黑宋简体" w:cs="仿宋_GB2312"/>
                <w:b/>
                <w:bCs/>
                <w:sz w:val="24"/>
              </w:rPr>
            </w:pPr>
            <w:r>
              <w:rPr>
                <w:rFonts w:ascii="方正粗黑宋简体" w:eastAsia="方正粗黑宋简体" w:hAnsi="方正粗黑宋简体" w:cs="仿宋_GB2312" w:hint="eastAsia"/>
                <w:b/>
                <w:bCs/>
                <w:sz w:val="24"/>
              </w:rPr>
              <w:t>第1</w:t>
            </w:r>
            <w:r>
              <w:rPr>
                <w:rFonts w:ascii="方正粗黑宋简体" w:eastAsia="方正粗黑宋简体" w:hAnsi="方正粗黑宋简体" w:cs="宋体" w:hint="eastAsia"/>
                <w:b/>
                <w:bCs/>
                <w:sz w:val="24"/>
              </w:rPr>
              <w:t>页</w:t>
            </w:r>
            <w:r>
              <w:rPr>
                <w:rFonts w:ascii="方正粗黑宋简体" w:eastAsia="方正粗黑宋简体" w:hAnsi="方正粗黑宋简体" w:cs="___WRD_EMBED_SUB_40" w:hint="eastAsia"/>
                <w:b/>
                <w:bCs/>
                <w:sz w:val="24"/>
              </w:rPr>
              <w:t xml:space="preserve">　　</w:t>
            </w:r>
            <w:r>
              <w:rPr>
                <w:rFonts w:ascii="方正粗黑宋简体" w:eastAsia="方正粗黑宋简体" w:hAnsi="方正粗黑宋简体" w:cs="宋体" w:hint="eastAsia"/>
                <w:b/>
                <w:bCs/>
                <w:sz w:val="24"/>
              </w:rPr>
              <w:t>共</w:t>
            </w:r>
            <w:r>
              <w:rPr>
                <w:rFonts w:ascii="方正粗黑宋简体" w:eastAsia="方正粗黑宋简体" w:hAnsi="方正粗黑宋简体" w:cs="仿宋_GB2312" w:hint="eastAsia"/>
                <w:b/>
                <w:bCs/>
                <w:sz w:val="24"/>
              </w:rPr>
              <w:t>2</w:t>
            </w:r>
            <w:r>
              <w:rPr>
                <w:rFonts w:ascii="方正粗黑宋简体" w:eastAsia="方正粗黑宋简体" w:hAnsi="方正粗黑宋简体" w:cs="宋体" w:hint="eastAsia"/>
                <w:b/>
                <w:bCs/>
                <w:sz w:val="24"/>
              </w:rPr>
              <w:t>页</w:t>
            </w:r>
          </w:p>
        </w:tc>
      </w:tr>
      <w:tr w:rsidR="003C142E">
        <w:trPr>
          <w:cantSplit/>
          <w:trHeight w:val="140"/>
        </w:trPr>
        <w:tc>
          <w:tcPr>
            <w:tcW w:w="4755" w:type="dxa"/>
            <w:vMerge w:val="restart"/>
            <w:vAlign w:val="center"/>
          </w:tcPr>
          <w:p w:rsidR="003C142E" w:rsidRDefault="005F5F87">
            <w:pPr>
              <w:pStyle w:val="a6"/>
              <w:spacing w:line="384" w:lineRule="auto"/>
              <w:rPr>
                <w:rFonts w:ascii="方正粗黑宋简体" w:eastAsia="方正粗黑宋简体" w:hAnsi="方正粗黑宋简体" w:cs="仿宋_GB2312"/>
                <w:b/>
                <w:sz w:val="24"/>
                <w:szCs w:val="24"/>
              </w:rPr>
            </w:pPr>
            <w:r>
              <w:rPr>
                <w:rFonts w:ascii="方正粗黑宋简体" w:eastAsia="方正粗黑宋简体" w:hAnsi="方正粗黑宋简体" w:cs="仿宋_GB2312" w:hint="eastAsia"/>
                <w:b/>
                <w:sz w:val="24"/>
                <w:szCs w:val="24"/>
              </w:rPr>
              <w:t>事故隐患排查治理制度</w:t>
            </w:r>
          </w:p>
        </w:tc>
        <w:tc>
          <w:tcPr>
            <w:tcW w:w="4832" w:type="dxa"/>
            <w:vAlign w:val="center"/>
          </w:tcPr>
          <w:p w:rsidR="003C142E" w:rsidRDefault="00016B23">
            <w:pPr>
              <w:spacing w:line="380" w:lineRule="exact"/>
              <w:rPr>
                <w:rFonts w:ascii="仿宋_GB2312" w:eastAsia="仿宋_GB2312" w:hAnsi="仿宋_GB2312" w:cs="仿宋_GB2312"/>
                <w:b/>
                <w:bCs/>
                <w:sz w:val="24"/>
              </w:rPr>
            </w:pPr>
            <w:r>
              <w:rPr>
                <w:rFonts w:ascii="仿宋_GB2312" w:eastAsia="仿宋_GB2312" w:hAnsi="仿宋_GB2312" w:cs="仿宋_GB2312" w:hint="eastAsia"/>
                <w:b/>
                <w:bCs/>
                <w:sz w:val="24"/>
              </w:rPr>
              <w:t>2023</w:t>
            </w:r>
            <w:r w:rsidR="005F5F87">
              <w:rPr>
                <w:rFonts w:ascii="仿宋_GB2312" w:eastAsia="仿宋_GB2312" w:hAnsi="仿宋_GB2312" w:cs="仿宋_GB2312" w:hint="eastAsia"/>
                <w:b/>
                <w:bCs/>
                <w:sz w:val="24"/>
              </w:rPr>
              <w:t xml:space="preserve">版　　</w:t>
            </w:r>
            <w:r>
              <w:rPr>
                <w:rFonts w:ascii="仿宋_GB2312" w:eastAsia="仿宋_GB2312" w:hAnsi="仿宋_GB2312" w:cs="仿宋_GB2312" w:hint="eastAsia"/>
                <w:b/>
                <w:bCs/>
                <w:sz w:val="24"/>
              </w:rPr>
              <w:t>2023</w:t>
            </w:r>
            <w:r w:rsidR="005F5F87">
              <w:rPr>
                <w:rFonts w:ascii="仿宋_GB2312" w:eastAsia="仿宋_GB2312" w:hAnsi="仿宋_GB2312" w:cs="仿宋_GB2312" w:hint="eastAsia"/>
                <w:b/>
                <w:bCs/>
                <w:sz w:val="24"/>
              </w:rPr>
              <w:t>年第1次修订</w:t>
            </w:r>
          </w:p>
        </w:tc>
      </w:tr>
      <w:tr w:rsidR="003C142E">
        <w:trPr>
          <w:cantSplit/>
          <w:trHeight w:val="54"/>
        </w:trPr>
        <w:tc>
          <w:tcPr>
            <w:tcW w:w="4755" w:type="dxa"/>
            <w:vMerge/>
            <w:vAlign w:val="center"/>
          </w:tcPr>
          <w:p w:rsidR="003C142E" w:rsidRDefault="003C142E">
            <w:pPr>
              <w:spacing w:line="360" w:lineRule="exact"/>
              <w:rPr>
                <w:rFonts w:ascii="方正粗黑宋简体" w:eastAsia="方正粗黑宋简体" w:hAnsi="方正粗黑宋简体" w:cs="仿宋_GB2312"/>
                <w:b/>
                <w:sz w:val="24"/>
              </w:rPr>
            </w:pPr>
          </w:p>
        </w:tc>
        <w:tc>
          <w:tcPr>
            <w:tcW w:w="4832" w:type="dxa"/>
            <w:vAlign w:val="center"/>
          </w:tcPr>
          <w:p w:rsidR="003C142E" w:rsidRDefault="005F5F87">
            <w:pPr>
              <w:spacing w:line="380" w:lineRule="exact"/>
              <w:rPr>
                <w:rFonts w:ascii="仿宋_GB2312" w:eastAsia="仿宋_GB2312" w:hAnsi="仿宋_GB2312" w:cs="仿宋_GB2312"/>
                <w:b/>
                <w:bCs/>
                <w:sz w:val="24"/>
              </w:rPr>
            </w:pPr>
            <w:r>
              <w:rPr>
                <w:rFonts w:ascii="仿宋_GB2312" w:eastAsia="仿宋_GB2312" w:hAnsi="仿宋_GB2312" w:cs="仿宋_GB2312" w:hint="eastAsia"/>
                <w:b/>
                <w:bCs/>
                <w:sz w:val="24"/>
              </w:rPr>
              <w:t>颁布日期：</w:t>
            </w:r>
            <w:r w:rsidR="00016B23">
              <w:rPr>
                <w:rFonts w:ascii="仿宋_GB2312" w:eastAsia="仿宋_GB2312" w:hAnsi="仿宋_GB2312" w:cs="仿宋_GB2312" w:hint="eastAsia"/>
                <w:b/>
                <w:bCs/>
                <w:sz w:val="24"/>
              </w:rPr>
              <w:t>2023</w:t>
            </w:r>
            <w:r>
              <w:rPr>
                <w:rFonts w:ascii="仿宋_GB2312" w:eastAsia="仿宋_GB2312" w:hAnsi="仿宋_GB2312" w:cs="仿宋_GB2312" w:hint="eastAsia"/>
                <w:b/>
                <w:bCs/>
                <w:sz w:val="24"/>
              </w:rPr>
              <w:t>-3-10</w:t>
            </w:r>
          </w:p>
        </w:tc>
      </w:tr>
      <w:tr w:rsidR="003C142E">
        <w:trPr>
          <w:cantSplit/>
          <w:trHeight w:val="11607"/>
        </w:trPr>
        <w:tc>
          <w:tcPr>
            <w:tcW w:w="9587" w:type="dxa"/>
            <w:gridSpan w:val="2"/>
            <w:vAlign w:val="center"/>
          </w:tcPr>
          <w:p w:rsidR="003C142E" w:rsidRDefault="005F5F87">
            <w:pPr>
              <w:pStyle w:val="a6"/>
              <w:spacing w:line="42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 目的</w:t>
            </w:r>
          </w:p>
          <w:p w:rsidR="003C142E" w:rsidRDefault="005F5F87">
            <w:pPr>
              <w:pStyle w:val="a6"/>
              <w:spacing w:line="420" w:lineRule="exact"/>
              <w:ind w:firstLine="420"/>
              <w:rPr>
                <w:rFonts w:asciiTheme="majorEastAsia" w:eastAsiaTheme="majorEastAsia" w:hAnsiTheme="majorEastAsia" w:cs="仿宋_GB2312"/>
                <w:bCs/>
                <w:sz w:val="24"/>
                <w:szCs w:val="24"/>
              </w:rPr>
            </w:pPr>
            <w:r>
              <w:rPr>
                <w:rFonts w:asciiTheme="majorEastAsia" w:eastAsiaTheme="majorEastAsia" w:hAnsiTheme="majorEastAsia" w:cs="仿宋_GB2312" w:hint="eastAsia"/>
                <w:bCs/>
                <w:sz w:val="24"/>
                <w:szCs w:val="24"/>
              </w:rPr>
              <w:t>为建立安全生产事故隐患排查治理长效机制，强化安全生产主体责任，加强事故隐患排查与治理，防止和减少事故，保障员工生命财产安全，主要依据《安全生产事故隐患排查治理暂行规定》的规定，结合公司实际，制定本制度。</w:t>
            </w:r>
          </w:p>
          <w:p w:rsidR="003C142E" w:rsidRDefault="005F5F87">
            <w:pPr>
              <w:pStyle w:val="a6"/>
              <w:numPr>
                <w:ilvl w:val="0"/>
                <w:numId w:val="1"/>
              </w:numPr>
              <w:spacing w:line="42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适用范围</w:t>
            </w:r>
          </w:p>
          <w:p w:rsidR="003C142E" w:rsidRDefault="005F5F87">
            <w:pPr>
              <w:pStyle w:val="a6"/>
              <w:spacing w:line="420" w:lineRule="exact"/>
              <w:rPr>
                <w:rFonts w:asciiTheme="majorEastAsia" w:eastAsiaTheme="majorEastAsia" w:hAnsiTheme="majorEastAsia" w:cs="仿宋_GB2312"/>
                <w:bCs/>
                <w:sz w:val="24"/>
                <w:szCs w:val="24"/>
              </w:rPr>
            </w:pPr>
            <w:r>
              <w:rPr>
                <w:rFonts w:asciiTheme="majorEastAsia" w:eastAsiaTheme="majorEastAsia" w:hAnsiTheme="majorEastAsia" w:cs="仿宋_GB2312" w:hint="eastAsia"/>
                <w:bCs/>
                <w:sz w:val="24"/>
                <w:szCs w:val="24"/>
              </w:rPr>
              <w:t xml:space="preserve">   适用于公司安全生产过程中违反安全生产法律、法规、规章、标准、规程和安全生产管理制度的规定，或者因其他因素在生产经营活动中存在可能导致事故发生的物的危险状态、人的不安全行为和管理上的缺陷等事故隐患排查治理。 </w:t>
            </w:r>
          </w:p>
          <w:p w:rsidR="003C142E" w:rsidRDefault="005F5F87">
            <w:pPr>
              <w:pStyle w:val="a6"/>
              <w:spacing w:line="42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bCs/>
                <w:sz w:val="24"/>
                <w:szCs w:val="24"/>
              </w:rPr>
              <w:t>3.</w:t>
            </w:r>
            <w:r>
              <w:rPr>
                <w:rFonts w:asciiTheme="majorEastAsia" w:eastAsiaTheme="majorEastAsia" w:hAnsiTheme="majorEastAsia" w:cs="仿宋_GB2312" w:hint="eastAsia"/>
                <w:sz w:val="24"/>
                <w:szCs w:val="24"/>
              </w:rPr>
              <w:t>主要依据</w:t>
            </w:r>
          </w:p>
          <w:p w:rsidR="003C142E" w:rsidRDefault="005F5F87">
            <w:pPr>
              <w:widowControl/>
              <w:spacing w:line="420" w:lineRule="exact"/>
              <w:ind w:firstLineChars="100" w:firstLine="240"/>
              <w:jc w:val="left"/>
              <w:rPr>
                <w:rFonts w:asciiTheme="majorEastAsia" w:eastAsiaTheme="majorEastAsia" w:hAnsiTheme="majorEastAsia" w:cs="仿宋_GB2312"/>
                <w:bCs/>
                <w:kern w:val="0"/>
                <w:sz w:val="24"/>
              </w:rPr>
            </w:pPr>
            <w:r>
              <w:rPr>
                <w:rFonts w:asciiTheme="majorEastAsia" w:eastAsiaTheme="majorEastAsia" w:hAnsiTheme="majorEastAsia" w:cs="仿宋_GB2312" w:hint="eastAsia"/>
                <w:bCs/>
                <w:sz w:val="24"/>
              </w:rPr>
              <w:t>《安全生产法》和《烟花爆竹经营许可实施办法》</w:t>
            </w:r>
          </w:p>
          <w:p w:rsidR="003C142E" w:rsidRDefault="005F5F87">
            <w:pPr>
              <w:pStyle w:val="a6"/>
              <w:spacing w:line="42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4.主要职责</w:t>
            </w:r>
          </w:p>
          <w:p w:rsidR="003C142E" w:rsidRDefault="005F5F87">
            <w:pPr>
              <w:spacing w:line="420" w:lineRule="exact"/>
              <w:rPr>
                <w:rFonts w:asciiTheme="majorEastAsia" w:eastAsiaTheme="majorEastAsia" w:hAnsiTheme="majorEastAsia" w:cs="仿宋_GB2312"/>
                <w:bCs/>
                <w:sz w:val="24"/>
                <w:szCs w:val="28"/>
              </w:rPr>
            </w:pPr>
            <w:r>
              <w:rPr>
                <w:rFonts w:asciiTheme="majorEastAsia" w:eastAsiaTheme="majorEastAsia" w:hAnsiTheme="majorEastAsia" w:cs="仿宋_GB2312" w:hint="eastAsia"/>
                <w:bCs/>
                <w:sz w:val="24"/>
                <w:szCs w:val="28"/>
              </w:rPr>
              <w:t xml:space="preserve">   4.1公司主要负责人组织制订方案。</w:t>
            </w:r>
          </w:p>
          <w:p w:rsidR="003C142E" w:rsidRDefault="005F5F87">
            <w:pPr>
              <w:spacing w:line="420" w:lineRule="exact"/>
              <w:rPr>
                <w:rFonts w:asciiTheme="majorEastAsia" w:eastAsiaTheme="majorEastAsia" w:hAnsiTheme="majorEastAsia" w:cs="仿宋_GB2312"/>
                <w:bCs/>
                <w:sz w:val="24"/>
                <w:szCs w:val="28"/>
              </w:rPr>
            </w:pPr>
            <w:r>
              <w:rPr>
                <w:rFonts w:asciiTheme="majorEastAsia" w:eastAsiaTheme="majorEastAsia" w:hAnsiTheme="majorEastAsia" w:cs="仿宋_GB2312" w:hint="eastAsia"/>
                <w:bCs/>
                <w:sz w:val="24"/>
                <w:szCs w:val="28"/>
              </w:rPr>
              <w:t xml:space="preserve">   4.2分管负责人组织实施并验证隐患整改。</w:t>
            </w:r>
          </w:p>
          <w:p w:rsidR="003C142E" w:rsidRDefault="005F5F87">
            <w:pPr>
              <w:spacing w:line="420" w:lineRule="exact"/>
              <w:rPr>
                <w:rFonts w:asciiTheme="majorEastAsia" w:eastAsiaTheme="majorEastAsia" w:hAnsiTheme="majorEastAsia" w:cs="仿宋_GB2312"/>
                <w:bCs/>
                <w:sz w:val="24"/>
                <w:szCs w:val="28"/>
              </w:rPr>
            </w:pPr>
            <w:r>
              <w:rPr>
                <w:rFonts w:asciiTheme="majorEastAsia" w:eastAsiaTheme="majorEastAsia" w:hAnsiTheme="majorEastAsia" w:cs="仿宋_GB2312" w:hint="eastAsia"/>
                <w:bCs/>
                <w:sz w:val="24"/>
                <w:szCs w:val="28"/>
              </w:rPr>
              <w:t xml:space="preserve">   4.3安全管理科负责隐患排查并督促落实，岗位责任人实施整改措施。</w:t>
            </w:r>
          </w:p>
          <w:p w:rsidR="003C142E" w:rsidRDefault="005F5F87">
            <w:pPr>
              <w:pStyle w:val="a6"/>
              <w:spacing w:line="42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5．主要内容</w:t>
            </w:r>
          </w:p>
          <w:p w:rsidR="003C142E" w:rsidRDefault="005F5F87">
            <w:pPr>
              <w:pStyle w:val="a6"/>
              <w:spacing w:line="420" w:lineRule="exact"/>
              <w:rPr>
                <w:rFonts w:asciiTheme="majorEastAsia" w:eastAsiaTheme="majorEastAsia" w:hAnsiTheme="majorEastAsia" w:cs="仿宋_GB2312"/>
                <w:bCs/>
                <w:sz w:val="24"/>
                <w:szCs w:val="24"/>
              </w:rPr>
            </w:pPr>
            <w:r>
              <w:rPr>
                <w:rFonts w:asciiTheme="majorEastAsia" w:eastAsiaTheme="majorEastAsia" w:hAnsiTheme="majorEastAsia" w:cs="仿宋_GB2312" w:hint="eastAsia"/>
                <w:bCs/>
                <w:sz w:val="24"/>
                <w:szCs w:val="24"/>
              </w:rPr>
              <w:t xml:space="preserve">   5.1 事故隐患分为一般事故隐患和重大事故隐患。一般事故隐患是指危害和整改难度较小，发现后能够立即整改排除的隐患。重大事故隐患：是指危害和整改难度较大，应当全部或者局部停业，并经过一定时间整改治理方能排除的隐患，或者因外部因素影响致使公司自身难以排除的隐患。</w:t>
            </w:r>
          </w:p>
          <w:p w:rsidR="003C142E" w:rsidRDefault="005F5F87">
            <w:pPr>
              <w:pStyle w:val="a6"/>
              <w:spacing w:line="420" w:lineRule="exact"/>
              <w:rPr>
                <w:rFonts w:asciiTheme="majorEastAsia" w:eastAsiaTheme="majorEastAsia" w:hAnsiTheme="majorEastAsia" w:cs="仿宋_GB2312"/>
                <w:bCs/>
                <w:sz w:val="24"/>
                <w:szCs w:val="24"/>
              </w:rPr>
            </w:pPr>
            <w:r>
              <w:rPr>
                <w:rFonts w:asciiTheme="majorEastAsia" w:eastAsiaTheme="majorEastAsia" w:hAnsiTheme="majorEastAsia" w:cs="仿宋_GB2312" w:hint="eastAsia"/>
                <w:bCs/>
                <w:sz w:val="24"/>
                <w:szCs w:val="24"/>
              </w:rPr>
              <w:t xml:space="preserve">   5.2 排查治理管理</w:t>
            </w:r>
          </w:p>
          <w:p w:rsidR="003C142E" w:rsidRDefault="005F5F87">
            <w:pPr>
              <w:pStyle w:val="a6"/>
              <w:spacing w:line="420" w:lineRule="exact"/>
              <w:rPr>
                <w:rFonts w:asciiTheme="majorEastAsia" w:eastAsiaTheme="majorEastAsia" w:hAnsiTheme="majorEastAsia" w:cs="仿宋_GB2312"/>
                <w:bCs/>
                <w:sz w:val="24"/>
                <w:szCs w:val="24"/>
              </w:rPr>
            </w:pPr>
            <w:r>
              <w:rPr>
                <w:rFonts w:asciiTheme="majorEastAsia" w:eastAsiaTheme="majorEastAsia" w:hAnsiTheme="majorEastAsia" w:cs="仿宋_GB2312" w:hint="eastAsia"/>
                <w:bCs/>
                <w:sz w:val="24"/>
                <w:szCs w:val="24"/>
              </w:rPr>
              <w:t xml:space="preserve">    (1)公司安全管理科组织相关人员每半年至少一次对本单位事故隐患进行自查，能整改的要立即进行整改，不能立即整改的，要制定出切实可行的安全措施及整改方案，限期进行整改，做好记录。</w:t>
            </w:r>
          </w:p>
          <w:p w:rsidR="003C142E" w:rsidRDefault="005F5F87">
            <w:pPr>
              <w:pStyle w:val="a6"/>
              <w:spacing w:line="420" w:lineRule="exact"/>
              <w:rPr>
                <w:rFonts w:asciiTheme="majorEastAsia" w:eastAsiaTheme="majorEastAsia" w:hAnsiTheme="majorEastAsia" w:cs="仿宋_GB2312"/>
                <w:bCs/>
                <w:sz w:val="24"/>
                <w:szCs w:val="24"/>
              </w:rPr>
            </w:pPr>
            <w:r>
              <w:rPr>
                <w:rFonts w:asciiTheme="majorEastAsia" w:eastAsiaTheme="majorEastAsia" w:hAnsiTheme="majorEastAsia" w:cs="仿宋_GB2312" w:hint="eastAsia"/>
                <w:bCs/>
                <w:sz w:val="24"/>
                <w:szCs w:val="24"/>
              </w:rPr>
              <w:t xml:space="preserve">    (2)安全管理科要定期组织相关人员进行综合及专业检查，集中排查事故隐患。对排查出的事故隐患，严格按照“四定”、“五到位”要求限期进行整改，按照事故隐患的等级进行登记，建立事故隐患信息档案，并按照整改期限组织验收。</w:t>
            </w:r>
          </w:p>
          <w:p w:rsidR="003C142E" w:rsidRDefault="005F5F87">
            <w:pPr>
              <w:pStyle w:val="a6"/>
              <w:spacing w:line="420" w:lineRule="exact"/>
              <w:ind w:firstLine="481"/>
              <w:rPr>
                <w:rFonts w:ascii="仿宋_GB2312" w:eastAsia="仿宋_GB2312" w:hAnsi="仿宋_GB2312" w:cs="仿宋_GB2312"/>
                <w:bCs/>
                <w:sz w:val="24"/>
                <w:szCs w:val="24"/>
              </w:rPr>
            </w:pPr>
            <w:r>
              <w:rPr>
                <w:rFonts w:asciiTheme="majorEastAsia" w:eastAsiaTheme="majorEastAsia" w:hAnsiTheme="majorEastAsia" w:cs="仿宋_GB2312" w:hint="eastAsia"/>
                <w:bCs/>
                <w:sz w:val="24"/>
                <w:szCs w:val="24"/>
              </w:rPr>
              <w:t>(3)对于一般事故隐患，由隐患所在部门立即组织进行整改。</w:t>
            </w:r>
          </w:p>
        </w:tc>
      </w:tr>
    </w:tbl>
    <w:p w:rsidR="003C142E" w:rsidRDefault="003C142E">
      <w:pPr>
        <w:pStyle w:val="a6"/>
        <w:spacing w:line="288" w:lineRule="auto"/>
        <w:rPr>
          <w:rFonts w:ascii="仿宋_GB2312" w:eastAsia="仿宋_GB2312" w:hAnsi="仿宋_GB2312" w:cs="仿宋_GB2312"/>
          <w:b/>
        </w:rPr>
      </w:pPr>
    </w:p>
    <w:p w:rsidR="003C142E" w:rsidRDefault="003C142E">
      <w:pPr>
        <w:pStyle w:val="a6"/>
        <w:spacing w:line="288" w:lineRule="auto"/>
        <w:rPr>
          <w:rFonts w:ascii="仿宋_GB2312" w:eastAsia="仿宋_GB2312" w:hAnsi="仿宋_GB2312" w:cs="仿宋_GB2312" w:hint="eastAsia"/>
          <w:b/>
        </w:rPr>
      </w:pPr>
    </w:p>
    <w:p w:rsidR="00043EDF" w:rsidRDefault="00043EDF">
      <w:pPr>
        <w:pStyle w:val="a6"/>
        <w:spacing w:line="288" w:lineRule="auto"/>
        <w:rPr>
          <w:rFonts w:ascii="仿宋_GB2312" w:eastAsia="仿宋_GB2312" w:hAnsi="仿宋_GB2312" w:cs="仿宋_GB2312"/>
          <w:b/>
        </w:rPr>
      </w:pP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5"/>
        <w:gridCol w:w="4832"/>
      </w:tblGrid>
      <w:tr w:rsidR="003C142E">
        <w:trPr>
          <w:trHeight w:val="606"/>
        </w:trPr>
        <w:tc>
          <w:tcPr>
            <w:tcW w:w="4755" w:type="dxa"/>
            <w:vMerge w:val="restart"/>
            <w:vAlign w:val="center"/>
          </w:tcPr>
          <w:p w:rsidR="003C142E" w:rsidRDefault="005F5F87">
            <w:pPr>
              <w:spacing w:line="400" w:lineRule="exact"/>
              <w:rPr>
                <w:rFonts w:ascii="方正粗黑宋简体" w:eastAsia="方正粗黑宋简体" w:hAnsi="方正粗黑宋简体" w:cs="仿宋_GB2312"/>
                <w:b/>
                <w:bCs/>
                <w:sz w:val="24"/>
              </w:rPr>
            </w:pPr>
            <w:r>
              <w:rPr>
                <w:rFonts w:ascii="方正粗黑宋简体" w:eastAsia="方正粗黑宋简体" w:hAnsi="方正粗黑宋简体" w:cs="仿宋_GB2312" w:hint="eastAsia"/>
                <w:b/>
                <w:bCs/>
                <w:sz w:val="24"/>
              </w:rPr>
              <w:t>南充顺百安商贸有限公司</w:t>
            </w:r>
          </w:p>
          <w:p w:rsidR="003C142E" w:rsidRDefault="005F5F87">
            <w:pPr>
              <w:spacing w:line="400" w:lineRule="exact"/>
              <w:rPr>
                <w:rFonts w:ascii="方正粗黑宋简体" w:eastAsia="方正粗黑宋简体" w:hAnsi="方正粗黑宋简体" w:cs="仿宋_GB2312"/>
                <w:b/>
                <w:bCs/>
                <w:sz w:val="24"/>
              </w:rPr>
            </w:pPr>
            <w:r>
              <w:rPr>
                <w:rFonts w:ascii="方正粗黑宋简体" w:eastAsia="方正粗黑宋简体" w:hAnsi="方正粗黑宋简体" w:cs="仿宋_GB2312" w:hint="eastAsia"/>
                <w:b/>
                <w:bCs/>
                <w:sz w:val="24"/>
              </w:rPr>
              <w:t>安全生产规章制度</w:t>
            </w:r>
          </w:p>
        </w:tc>
        <w:tc>
          <w:tcPr>
            <w:tcW w:w="4832" w:type="dxa"/>
            <w:vAlign w:val="center"/>
          </w:tcPr>
          <w:p w:rsidR="003C142E" w:rsidRDefault="005F5F87">
            <w:pPr>
              <w:spacing w:line="400" w:lineRule="exact"/>
              <w:rPr>
                <w:rFonts w:ascii="方正粗黑宋简体" w:eastAsia="方正粗黑宋简体" w:hAnsi="方正粗黑宋简体" w:cs="仿宋_GB2312"/>
                <w:b/>
                <w:bCs/>
                <w:sz w:val="24"/>
              </w:rPr>
            </w:pPr>
            <w:r>
              <w:rPr>
                <w:rFonts w:ascii="方正粗黑宋简体" w:eastAsia="方正粗黑宋简体" w:hAnsi="方正粗黑宋简体" w:cs="仿宋_GB2312" w:hint="eastAsia"/>
                <w:b/>
                <w:bCs/>
                <w:sz w:val="24"/>
              </w:rPr>
              <w:t>文件编号：</w:t>
            </w:r>
            <w:r w:rsidR="00016B23">
              <w:rPr>
                <w:rFonts w:ascii="方正粗黑宋简体" w:eastAsia="方正粗黑宋简体" w:hAnsi="方正粗黑宋简体" w:cs="仿宋_GB2312" w:hint="eastAsia"/>
                <w:b/>
                <w:bCs/>
                <w:sz w:val="24"/>
              </w:rPr>
              <w:t>2023</w:t>
            </w:r>
            <w:r>
              <w:rPr>
                <w:rFonts w:ascii="方正粗黑宋简体" w:eastAsia="方正粗黑宋简体" w:hAnsi="方正粗黑宋简体" w:cs="仿宋_GB2312" w:hint="eastAsia"/>
                <w:b/>
                <w:bCs/>
                <w:sz w:val="24"/>
              </w:rPr>
              <w:t>-006-010</w:t>
            </w:r>
          </w:p>
        </w:tc>
      </w:tr>
      <w:tr w:rsidR="003C142E">
        <w:trPr>
          <w:cantSplit/>
          <w:trHeight w:val="76"/>
        </w:trPr>
        <w:tc>
          <w:tcPr>
            <w:tcW w:w="4755" w:type="dxa"/>
            <w:vMerge/>
            <w:vAlign w:val="center"/>
          </w:tcPr>
          <w:p w:rsidR="003C142E" w:rsidRDefault="003C142E">
            <w:pPr>
              <w:spacing w:line="400" w:lineRule="exact"/>
              <w:rPr>
                <w:rFonts w:ascii="方正粗黑宋简体" w:eastAsia="方正粗黑宋简体" w:hAnsi="方正粗黑宋简体" w:cs="仿宋_GB2312"/>
                <w:b/>
                <w:bCs/>
                <w:sz w:val="24"/>
              </w:rPr>
            </w:pPr>
          </w:p>
        </w:tc>
        <w:tc>
          <w:tcPr>
            <w:tcW w:w="4832" w:type="dxa"/>
            <w:vAlign w:val="center"/>
          </w:tcPr>
          <w:p w:rsidR="003C142E" w:rsidRDefault="005F5F87">
            <w:pPr>
              <w:spacing w:line="400" w:lineRule="exact"/>
              <w:rPr>
                <w:rFonts w:ascii="方正粗黑宋简体" w:eastAsia="方正粗黑宋简体" w:hAnsi="方正粗黑宋简体" w:cs="仿宋_GB2312"/>
                <w:b/>
                <w:bCs/>
                <w:sz w:val="24"/>
              </w:rPr>
            </w:pPr>
            <w:r>
              <w:rPr>
                <w:rFonts w:ascii="方正粗黑宋简体" w:eastAsia="方正粗黑宋简体" w:hAnsi="方正粗黑宋简体" w:cs="仿宋_GB2312" w:hint="eastAsia"/>
                <w:b/>
                <w:bCs/>
                <w:sz w:val="24"/>
              </w:rPr>
              <w:t>第2页　　共2页</w:t>
            </w:r>
          </w:p>
        </w:tc>
      </w:tr>
      <w:tr w:rsidR="003C142E">
        <w:trPr>
          <w:cantSplit/>
          <w:trHeight w:val="321"/>
        </w:trPr>
        <w:tc>
          <w:tcPr>
            <w:tcW w:w="4755" w:type="dxa"/>
            <w:vMerge w:val="restart"/>
            <w:vAlign w:val="center"/>
          </w:tcPr>
          <w:p w:rsidR="003C142E" w:rsidRDefault="005F5F87">
            <w:pPr>
              <w:pStyle w:val="a6"/>
              <w:spacing w:line="400" w:lineRule="exact"/>
              <w:rPr>
                <w:rFonts w:ascii="方正粗黑宋简体" w:eastAsia="方正粗黑宋简体" w:hAnsi="方正粗黑宋简体" w:cs="仿宋_GB2312"/>
                <w:b/>
                <w:bCs/>
                <w:sz w:val="24"/>
                <w:szCs w:val="24"/>
              </w:rPr>
            </w:pPr>
            <w:r>
              <w:rPr>
                <w:rFonts w:ascii="方正粗黑宋简体" w:eastAsia="方正粗黑宋简体" w:hAnsi="方正粗黑宋简体" w:cs="仿宋_GB2312" w:hint="eastAsia"/>
                <w:b/>
                <w:bCs/>
                <w:sz w:val="24"/>
                <w:szCs w:val="24"/>
              </w:rPr>
              <w:t>事故隐患排查治理制度</w:t>
            </w:r>
          </w:p>
        </w:tc>
        <w:tc>
          <w:tcPr>
            <w:tcW w:w="4832" w:type="dxa"/>
            <w:vAlign w:val="center"/>
          </w:tcPr>
          <w:p w:rsidR="003C142E" w:rsidRDefault="00016B23">
            <w:pPr>
              <w:spacing w:line="380" w:lineRule="exact"/>
              <w:rPr>
                <w:rFonts w:ascii="仿宋_GB2312" w:eastAsia="仿宋_GB2312" w:hAnsi="仿宋_GB2312" w:cs="仿宋_GB2312"/>
                <w:b/>
                <w:bCs/>
                <w:sz w:val="24"/>
              </w:rPr>
            </w:pPr>
            <w:r>
              <w:rPr>
                <w:rFonts w:ascii="仿宋_GB2312" w:eastAsia="仿宋_GB2312" w:hAnsi="仿宋_GB2312" w:cs="仿宋_GB2312" w:hint="eastAsia"/>
                <w:b/>
                <w:bCs/>
                <w:sz w:val="24"/>
              </w:rPr>
              <w:t>2023</w:t>
            </w:r>
            <w:r w:rsidR="005F5F87">
              <w:rPr>
                <w:rFonts w:ascii="仿宋_GB2312" w:eastAsia="仿宋_GB2312" w:hAnsi="仿宋_GB2312" w:cs="仿宋_GB2312" w:hint="eastAsia"/>
                <w:b/>
                <w:bCs/>
                <w:sz w:val="24"/>
              </w:rPr>
              <w:t xml:space="preserve">版　　</w:t>
            </w:r>
            <w:r>
              <w:rPr>
                <w:rFonts w:ascii="仿宋_GB2312" w:eastAsia="仿宋_GB2312" w:hAnsi="仿宋_GB2312" w:cs="仿宋_GB2312" w:hint="eastAsia"/>
                <w:b/>
                <w:bCs/>
                <w:sz w:val="24"/>
              </w:rPr>
              <w:t>2023</w:t>
            </w:r>
            <w:r w:rsidR="005F5F87">
              <w:rPr>
                <w:rFonts w:ascii="仿宋_GB2312" w:eastAsia="仿宋_GB2312" w:hAnsi="仿宋_GB2312" w:cs="仿宋_GB2312" w:hint="eastAsia"/>
                <w:b/>
                <w:bCs/>
                <w:sz w:val="24"/>
              </w:rPr>
              <w:t>年第1次修订</w:t>
            </w:r>
          </w:p>
        </w:tc>
      </w:tr>
      <w:tr w:rsidR="003C142E">
        <w:trPr>
          <w:cantSplit/>
          <w:trHeight w:val="45"/>
        </w:trPr>
        <w:tc>
          <w:tcPr>
            <w:tcW w:w="4755" w:type="dxa"/>
            <w:vMerge/>
            <w:vAlign w:val="center"/>
          </w:tcPr>
          <w:p w:rsidR="003C142E" w:rsidRDefault="003C142E">
            <w:pPr>
              <w:spacing w:line="400" w:lineRule="exact"/>
              <w:rPr>
                <w:rFonts w:ascii="方正粗黑宋简体" w:eastAsia="方正粗黑宋简体" w:hAnsi="方正粗黑宋简体" w:cs="仿宋_GB2312"/>
                <w:b/>
                <w:bCs/>
                <w:sz w:val="24"/>
              </w:rPr>
            </w:pPr>
          </w:p>
        </w:tc>
        <w:tc>
          <w:tcPr>
            <w:tcW w:w="4832" w:type="dxa"/>
            <w:vAlign w:val="center"/>
          </w:tcPr>
          <w:p w:rsidR="003C142E" w:rsidRDefault="005F5F87">
            <w:pPr>
              <w:spacing w:line="380" w:lineRule="exact"/>
              <w:rPr>
                <w:rFonts w:ascii="仿宋_GB2312" w:eastAsia="仿宋_GB2312" w:hAnsi="仿宋_GB2312" w:cs="仿宋_GB2312"/>
                <w:b/>
                <w:bCs/>
                <w:sz w:val="24"/>
              </w:rPr>
            </w:pPr>
            <w:r>
              <w:rPr>
                <w:rFonts w:ascii="仿宋_GB2312" w:eastAsia="仿宋_GB2312" w:hAnsi="仿宋_GB2312" w:cs="仿宋_GB2312" w:hint="eastAsia"/>
                <w:b/>
                <w:bCs/>
                <w:sz w:val="24"/>
              </w:rPr>
              <w:t>颁布日期：</w:t>
            </w:r>
            <w:r w:rsidR="00016B23">
              <w:rPr>
                <w:rFonts w:ascii="仿宋_GB2312" w:eastAsia="仿宋_GB2312" w:hAnsi="仿宋_GB2312" w:cs="仿宋_GB2312" w:hint="eastAsia"/>
                <w:b/>
                <w:bCs/>
                <w:sz w:val="24"/>
              </w:rPr>
              <w:t>2023</w:t>
            </w:r>
            <w:r>
              <w:rPr>
                <w:rFonts w:ascii="仿宋_GB2312" w:eastAsia="仿宋_GB2312" w:hAnsi="仿宋_GB2312" w:cs="仿宋_GB2312" w:hint="eastAsia"/>
                <w:b/>
                <w:bCs/>
                <w:sz w:val="24"/>
              </w:rPr>
              <w:t>-3-10</w:t>
            </w:r>
          </w:p>
        </w:tc>
      </w:tr>
      <w:tr w:rsidR="003C142E">
        <w:trPr>
          <w:cantSplit/>
          <w:trHeight w:val="9134"/>
        </w:trPr>
        <w:tc>
          <w:tcPr>
            <w:tcW w:w="9587" w:type="dxa"/>
            <w:gridSpan w:val="2"/>
          </w:tcPr>
          <w:p w:rsidR="003C142E" w:rsidRDefault="005F5F87">
            <w:pPr>
              <w:spacing w:line="480" w:lineRule="auto"/>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 (4)对于重大事故隐患，由公司组织各有关部门负责人制定并实施事故隐患治理方案：确定治理的目标和任务；制定整改方法和措施；落实经费和物资；确定责任单位和责任人；规定治理的时限和要求；制订安全防范措施和应急预案。</w:t>
            </w:r>
          </w:p>
          <w:p w:rsidR="003C142E" w:rsidRDefault="005F5F87">
            <w:pPr>
              <w:spacing w:line="480" w:lineRule="auto"/>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    (5)在事故隐患治理过程中，要采取切实可行的安全防范措施，防止事故发生。事故隐患排除前或者排除过程中无法保证安全时，要立即从危险区域内撤出作业人员，并疏散可能危及的其他人员，设置警戒标志，暂时停产停业或者停止使用；对暂时难以停产或者停止使用的相关生产储存装置、设施、设备，要加强维护和保养，防止事故发生。</w:t>
            </w:r>
          </w:p>
          <w:p w:rsidR="003C142E" w:rsidRDefault="005F5F87">
            <w:pPr>
              <w:numPr>
                <w:ilvl w:val="0"/>
                <w:numId w:val="2"/>
              </w:numPr>
              <w:spacing w:line="480" w:lineRule="auto"/>
              <w:ind w:firstLine="420"/>
              <w:rPr>
                <w:rFonts w:asciiTheme="majorEastAsia" w:eastAsiaTheme="majorEastAsia" w:hAnsiTheme="majorEastAsia" w:cs="仿宋_GB2312"/>
                <w:sz w:val="24"/>
              </w:rPr>
            </w:pPr>
            <w:r>
              <w:rPr>
                <w:rFonts w:asciiTheme="majorEastAsia" w:eastAsiaTheme="majorEastAsia" w:hAnsiTheme="majorEastAsia" w:cs="仿宋_GB2312" w:hint="eastAsia"/>
                <w:sz w:val="24"/>
              </w:rPr>
              <w:t>对重大事故隐患，由公司主要负责人及时向上级安全监管部门及主管部门报告。重大事故隐患报告主要内容应当包括： 一是隐患的现状及其产生原因；二是隐患的危害程度和整改难易程度分析；三是隐患的治理方案。</w:t>
            </w:r>
          </w:p>
          <w:p w:rsidR="003C142E" w:rsidRDefault="005F5F87">
            <w:pPr>
              <w:pStyle w:val="a6"/>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6．相关记录</w:t>
            </w:r>
          </w:p>
          <w:p w:rsidR="003C142E" w:rsidRDefault="005F5F87">
            <w:pPr>
              <w:spacing w:line="480" w:lineRule="auto"/>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   6.1烟花爆竹企业事故隐患排查表</w:t>
            </w:r>
          </w:p>
          <w:p w:rsidR="003C142E" w:rsidRDefault="005F5F87">
            <w:pPr>
              <w:spacing w:line="480" w:lineRule="auto"/>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   6.2事故隐患整改记录表</w:t>
            </w:r>
          </w:p>
          <w:p w:rsidR="003C142E" w:rsidRDefault="005F5F87">
            <w:pPr>
              <w:spacing w:line="480" w:lineRule="auto"/>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   6.3事故隐患排查治理台账</w:t>
            </w:r>
          </w:p>
          <w:p w:rsidR="003C142E" w:rsidRDefault="003C142E">
            <w:pPr>
              <w:spacing w:line="480" w:lineRule="auto"/>
              <w:ind w:firstLineChars="150" w:firstLine="361"/>
              <w:rPr>
                <w:rFonts w:ascii="仿宋_GB2312" w:eastAsia="仿宋_GB2312" w:hAnsi="仿宋_GB2312" w:cs="仿宋_GB2312"/>
                <w:b/>
                <w:bCs/>
                <w:sz w:val="24"/>
              </w:rPr>
            </w:pPr>
          </w:p>
        </w:tc>
      </w:tr>
    </w:tbl>
    <w:p w:rsidR="003C142E" w:rsidRDefault="003C142E">
      <w:pPr>
        <w:pStyle w:val="a6"/>
        <w:spacing w:line="288" w:lineRule="auto"/>
        <w:rPr>
          <w:rFonts w:ascii="仿宋_GB2312" w:eastAsia="仿宋_GB2312" w:hAnsi="仿宋_GB2312" w:cs="仿宋_GB2312"/>
        </w:rPr>
      </w:pPr>
    </w:p>
    <w:p w:rsidR="003C142E" w:rsidRDefault="003C142E">
      <w:pPr>
        <w:pStyle w:val="a6"/>
        <w:spacing w:line="288" w:lineRule="auto"/>
        <w:rPr>
          <w:rFonts w:ascii="仿宋_GB2312" w:eastAsia="仿宋_GB2312" w:hAnsi="仿宋_GB2312" w:cs="仿宋_GB2312"/>
        </w:rPr>
      </w:pPr>
    </w:p>
    <w:p w:rsidR="00F36819" w:rsidRDefault="00F36819">
      <w:pPr>
        <w:pStyle w:val="a6"/>
        <w:spacing w:line="288" w:lineRule="auto"/>
        <w:rPr>
          <w:rFonts w:ascii="仿宋_GB2312" w:eastAsia="仿宋_GB2312" w:hAnsi="仿宋_GB2312" w:cs="仿宋_GB2312"/>
        </w:rPr>
      </w:pPr>
    </w:p>
    <w:p w:rsidR="00F36819" w:rsidRDefault="00F36819">
      <w:pPr>
        <w:pStyle w:val="a6"/>
        <w:spacing w:line="288" w:lineRule="auto"/>
        <w:rPr>
          <w:rFonts w:ascii="仿宋_GB2312" w:eastAsia="仿宋_GB2312" w:hAnsi="仿宋_GB2312" w:cs="仿宋_GB2312"/>
        </w:rPr>
      </w:pPr>
    </w:p>
    <w:p w:rsidR="00F36819" w:rsidRDefault="00F36819">
      <w:pPr>
        <w:pStyle w:val="a6"/>
        <w:spacing w:line="288" w:lineRule="auto"/>
        <w:rPr>
          <w:rFonts w:ascii="仿宋_GB2312" w:eastAsia="仿宋_GB2312" w:hAnsi="仿宋_GB2312" w:cs="仿宋_GB2312"/>
        </w:rPr>
      </w:pPr>
    </w:p>
    <w:p w:rsidR="00F36819" w:rsidRDefault="00F36819">
      <w:pPr>
        <w:pStyle w:val="a6"/>
        <w:spacing w:line="288" w:lineRule="auto"/>
        <w:rPr>
          <w:rFonts w:ascii="仿宋_GB2312" w:eastAsia="仿宋_GB2312" w:hAnsi="仿宋_GB2312" w:cs="仿宋_GB2312"/>
        </w:rPr>
      </w:pPr>
    </w:p>
    <w:p w:rsidR="00F36819" w:rsidRDefault="00F36819">
      <w:pPr>
        <w:pStyle w:val="a6"/>
        <w:spacing w:line="288" w:lineRule="auto"/>
        <w:rPr>
          <w:rFonts w:ascii="仿宋_GB2312" w:eastAsia="仿宋_GB2312" w:hAnsi="仿宋_GB2312" w:cs="仿宋_GB2312"/>
        </w:rPr>
      </w:pPr>
    </w:p>
    <w:sectPr w:rsidR="00F36819" w:rsidSect="00043EDF">
      <w:footerReference w:type="default" r:id="rId9"/>
      <w:pgSz w:w="11906" w:h="16838"/>
      <w:pgMar w:top="1440" w:right="1313" w:bottom="709" w:left="135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38A" w:rsidRDefault="0035238A" w:rsidP="003C142E">
      <w:r>
        <w:separator/>
      </w:r>
    </w:p>
  </w:endnote>
  <w:endnote w:type="continuationSeparator" w:id="1">
    <w:p w:rsidR="0035238A" w:rsidRDefault="0035238A" w:rsidP="003C14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方正粗黑宋简体">
    <w:altName w:val="Arial Unicode MS"/>
    <w:charset w:val="86"/>
    <w:family w:val="auto"/>
    <w:pitch w:val="default"/>
    <w:sig w:usb0="00000000" w:usb1="184F6CFA" w:usb2="00000012" w:usb3="00000000" w:csb0="00040001" w:csb1="00000000"/>
  </w:font>
  <w:font w:name="___WRD_EMBED_SUB_40">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F87" w:rsidRDefault="00ED38BB">
    <w:pPr>
      <w:pStyle w:val="a9"/>
    </w:pPr>
    <w:r>
      <w:pict>
        <v:shapetype id="_x0000_t202" coordsize="21600,21600" o:spt="202" path="m,l,21600r21600,l21600,xe">
          <v:stroke joinstyle="miter"/>
          <v:path gradientshapeok="t" o:connecttype="rect"/>
        </v:shapetype>
        <v:shape id="文本框 1025" o:spid="_x0000_s2050" type="#_x0000_t202" style="position:absolute;margin-left:-92.85pt;margin-top:0;width:9.05pt;height:10.35pt;z-index:251660288;mso-wrap-style:none;mso-position-horizontal:right;mso-position-horizontal-relative:margin" filled="f" stroked="f">
          <v:textbox style="mso-fit-shape-to-text:t" inset="0,0,0,0">
            <w:txbxContent>
              <w:p w:rsidR="005F5F87" w:rsidRDefault="005F5F87">
                <w:pPr>
                  <w:pStyle w:val="a9"/>
                </w:pPr>
              </w:p>
              <w:p w:rsidR="005F5F87" w:rsidRDefault="005F5F87">
                <w:pPr>
                  <w:pStyle w:val="a9"/>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38A" w:rsidRDefault="0035238A" w:rsidP="003C142E">
      <w:r>
        <w:separator/>
      </w:r>
    </w:p>
  </w:footnote>
  <w:footnote w:type="continuationSeparator" w:id="1">
    <w:p w:rsidR="0035238A" w:rsidRDefault="0035238A" w:rsidP="003C14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E2BC0"/>
    <w:multiLevelType w:val="singleLevel"/>
    <w:tmpl w:val="281E2BC0"/>
    <w:lvl w:ilvl="0">
      <w:start w:val="2"/>
      <w:numFmt w:val="decimal"/>
      <w:suff w:val="space"/>
      <w:lvlText w:val="%1."/>
      <w:lvlJc w:val="left"/>
    </w:lvl>
  </w:abstractNum>
  <w:abstractNum w:abstractNumId="1">
    <w:nsid w:val="5768C5C7"/>
    <w:multiLevelType w:val="singleLevel"/>
    <w:tmpl w:val="5768C5C7"/>
    <w:lvl w:ilvl="0">
      <w:start w:val="6"/>
      <w:numFmt w:val="decimal"/>
      <w:suff w:val="nothing"/>
      <w:lvlText w:val="(%1)"/>
      <w:lvlJc w:val="left"/>
    </w:lvl>
  </w:abstractNum>
  <w:abstractNum w:abstractNumId="2">
    <w:nsid w:val="5A24679D"/>
    <w:multiLevelType w:val="multilevel"/>
    <w:tmpl w:val="5A24679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62A1330"/>
    <w:multiLevelType w:val="multilevel"/>
    <w:tmpl w:val="662A1330"/>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FiZjZkNjUxMTdmOTVhYjgzN2Q0MjU4NzFlNmJhOWIifQ=="/>
  </w:docVars>
  <w:rsids>
    <w:rsidRoot w:val="3BDE4045"/>
    <w:rsid w:val="0000731F"/>
    <w:rsid w:val="00011B1A"/>
    <w:rsid w:val="00016B23"/>
    <w:rsid w:val="00021BB7"/>
    <w:rsid w:val="000256F5"/>
    <w:rsid w:val="00043EDF"/>
    <w:rsid w:val="000660BF"/>
    <w:rsid w:val="000A27F7"/>
    <w:rsid w:val="000B1F49"/>
    <w:rsid w:val="000E0C46"/>
    <w:rsid w:val="000F124C"/>
    <w:rsid w:val="0012012A"/>
    <w:rsid w:val="00165E97"/>
    <w:rsid w:val="001F35C5"/>
    <w:rsid w:val="00205101"/>
    <w:rsid w:val="0021194D"/>
    <w:rsid w:val="00231D3C"/>
    <w:rsid w:val="002558D9"/>
    <w:rsid w:val="00296653"/>
    <w:rsid w:val="002C09EC"/>
    <w:rsid w:val="002C12AB"/>
    <w:rsid w:val="002D4711"/>
    <w:rsid w:val="00303521"/>
    <w:rsid w:val="00334FB8"/>
    <w:rsid w:val="0034204F"/>
    <w:rsid w:val="003468EF"/>
    <w:rsid w:val="0035238A"/>
    <w:rsid w:val="003A6E5A"/>
    <w:rsid w:val="003C142E"/>
    <w:rsid w:val="003C34EF"/>
    <w:rsid w:val="003D7DD2"/>
    <w:rsid w:val="003E15B4"/>
    <w:rsid w:val="00415E33"/>
    <w:rsid w:val="00437BE8"/>
    <w:rsid w:val="00496773"/>
    <w:rsid w:val="004C6C81"/>
    <w:rsid w:val="00503941"/>
    <w:rsid w:val="005045C6"/>
    <w:rsid w:val="00535F9B"/>
    <w:rsid w:val="00545DF7"/>
    <w:rsid w:val="005A7026"/>
    <w:rsid w:val="005C3C44"/>
    <w:rsid w:val="005E02EA"/>
    <w:rsid w:val="005F5F87"/>
    <w:rsid w:val="00605C91"/>
    <w:rsid w:val="00625D6D"/>
    <w:rsid w:val="006340DB"/>
    <w:rsid w:val="00685011"/>
    <w:rsid w:val="006B074F"/>
    <w:rsid w:val="006C1E4A"/>
    <w:rsid w:val="006D7776"/>
    <w:rsid w:val="007172C4"/>
    <w:rsid w:val="00721598"/>
    <w:rsid w:val="007254F6"/>
    <w:rsid w:val="00760C66"/>
    <w:rsid w:val="00783ECD"/>
    <w:rsid w:val="007848AE"/>
    <w:rsid w:val="007A3CB9"/>
    <w:rsid w:val="007A4FE2"/>
    <w:rsid w:val="007D1271"/>
    <w:rsid w:val="007E0961"/>
    <w:rsid w:val="007F04FD"/>
    <w:rsid w:val="00805F85"/>
    <w:rsid w:val="00814D0F"/>
    <w:rsid w:val="008234CA"/>
    <w:rsid w:val="0084349B"/>
    <w:rsid w:val="008649A3"/>
    <w:rsid w:val="008779AB"/>
    <w:rsid w:val="00901F9D"/>
    <w:rsid w:val="00904D9E"/>
    <w:rsid w:val="009176D6"/>
    <w:rsid w:val="009328AD"/>
    <w:rsid w:val="00970AE5"/>
    <w:rsid w:val="00973329"/>
    <w:rsid w:val="009E491A"/>
    <w:rsid w:val="00A322E0"/>
    <w:rsid w:val="00A932EF"/>
    <w:rsid w:val="00AA4572"/>
    <w:rsid w:val="00AD503F"/>
    <w:rsid w:val="00AD592E"/>
    <w:rsid w:val="00AF5523"/>
    <w:rsid w:val="00B17817"/>
    <w:rsid w:val="00B8331D"/>
    <w:rsid w:val="00B83646"/>
    <w:rsid w:val="00BC165C"/>
    <w:rsid w:val="00BD15F2"/>
    <w:rsid w:val="00BD6A64"/>
    <w:rsid w:val="00C07737"/>
    <w:rsid w:val="00C1362E"/>
    <w:rsid w:val="00C13B76"/>
    <w:rsid w:val="00C16D18"/>
    <w:rsid w:val="00C20206"/>
    <w:rsid w:val="00C76878"/>
    <w:rsid w:val="00CA6B07"/>
    <w:rsid w:val="00CA6F38"/>
    <w:rsid w:val="00CC07EE"/>
    <w:rsid w:val="00CE7773"/>
    <w:rsid w:val="00D0055F"/>
    <w:rsid w:val="00D55C78"/>
    <w:rsid w:val="00DB1CF2"/>
    <w:rsid w:val="00DC1E16"/>
    <w:rsid w:val="00DE049E"/>
    <w:rsid w:val="00E4046C"/>
    <w:rsid w:val="00E425E6"/>
    <w:rsid w:val="00E8337F"/>
    <w:rsid w:val="00E85CC7"/>
    <w:rsid w:val="00E86AC3"/>
    <w:rsid w:val="00EB5A0E"/>
    <w:rsid w:val="00ED38BB"/>
    <w:rsid w:val="00EE3068"/>
    <w:rsid w:val="00EF7789"/>
    <w:rsid w:val="00F311F0"/>
    <w:rsid w:val="00F36819"/>
    <w:rsid w:val="00F637E9"/>
    <w:rsid w:val="00F741D3"/>
    <w:rsid w:val="00FA2FBA"/>
    <w:rsid w:val="01AB6BB0"/>
    <w:rsid w:val="03CA5314"/>
    <w:rsid w:val="1CBF5C3A"/>
    <w:rsid w:val="3BDE4045"/>
    <w:rsid w:val="41C10E98"/>
    <w:rsid w:val="4D7B4184"/>
    <w:rsid w:val="4E7B2B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120" w:lineRule="auto"/>
        <w:jc w:val="center"/>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42E"/>
    <w:pPr>
      <w:widowControl w:val="0"/>
      <w:jc w:val="both"/>
    </w:pPr>
    <w:rPr>
      <w:kern w:val="2"/>
      <w:sz w:val="21"/>
      <w:szCs w:val="24"/>
    </w:rPr>
  </w:style>
  <w:style w:type="paragraph" w:styleId="3">
    <w:name w:val="heading 3"/>
    <w:basedOn w:val="a"/>
    <w:next w:val="a"/>
    <w:link w:val="3Char"/>
    <w:qFormat/>
    <w:rsid w:val="003C142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3C142E"/>
    <w:pPr>
      <w:jc w:val="left"/>
    </w:pPr>
  </w:style>
  <w:style w:type="paragraph" w:styleId="a4">
    <w:name w:val="Salutation"/>
    <w:basedOn w:val="a"/>
    <w:next w:val="a"/>
    <w:link w:val="Char0"/>
    <w:rsid w:val="003C142E"/>
    <w:rPr>
      <w:rFonts w:ascii="黑体" w:eastAsia="黑体" w:hAnsi="黑体"/>
      <w:kern w:val="0"/>
      <w:sz w:val="30"/>
      <w:szCs w:val="30"/>
    </w:rPr>
  </w:style>
  <w:style w:type="paragraph" w:styleId="a5">
    <w:name w:val="Closing"/>
    <w:basedOn w:val="a"/>
    <w:link w:val="Char1"/>
    <w:rsid w:val="003C142E"/>
    <w:pPr>
      <w:ind w:leftChars="2100" w:left="100"/>
    </w:pPr>
    <w:rPr>
      <w:rFonts w:ascii="黑体" w:eastAsia="黑体" w:hAnsi="黑体"/>
      <w:kern w:val="0"/>
      <w:sz w:val="30"/>
      <w:szCs w:val="30"/>
    </w:rPr>
  </w:style>
  <w:style w:type="paragraph" w:styleId="a6">
    <w:name w:val="Plain Text"/>
    <w:basedOn w:val="a"/>
    <w:link w:val="Char2"/>
    <w:rsid w:val="003C142E"/>
    <w:rPr>
      <w:rFonts w:ascii="宋体" w:hAnsi="Courier New" w:cs="Courier New"/>
      <w:kern w:val="0"/>
      <w:sz w:val="20"/>
      <w:szCs w:val="21"/>
    </w:rPr>
  </w:style>
  <w:style w:type="paragraph" w:styleId="a7">
    <w:name w:val="Date"/>
    <w:basedOn w:val="a"/>
    <w:next w:val="a"/>
    <w:link w:val="Char3"/>
    <w:rsid w:val="003C142E"/>
    <w:pPr>
      <w:ind w:leftChars="2500" w:left="100"/>
    </w:pPr>
  </w:style>
  <w:style w:type="paragraph" w:styleId="a8">
    <w:name w:val="Balloon Text"/>
    <w:basedOn w:val="a"/>
    <w:link w:val="Char4"/>
    <w:rsid w:val="003C142E"/>
    <w:rPr>
      <w:sz w:val="18"/>
      <w:szCs w:val="18"/>
    </w:rPr>
  </w:style>
  <w:style w:type="paragraph" w:styleId="a9">
    <w:name w:val="footer"/>
    <w:basedOn w:val="a"/>
    <w:link w:val="Char5"/>
    <w:uiPriority w:val="99"/>
    <w:qFormat/>
    <w:rsid w:val="003C142E"/>
    <w:pPr>
      <w:tabs>
        <w:tab w:val="center" w:pos="4153"/>
        <w:tab w:val="right" w:pos="8306"/>
      </w:tabs>
      <w:snapToGrid w:val="0"/>
      <w:jc w:val="left"/>
    </w:pPr>
    <w:rPr>
      <w:sz w:val="18"/>
      <w:szCs w:val="18"/>
    </w:rPr>
  </w:style>
  <w:style w:type="paragraph" w:styleId="aa">
    <w:name w:val="header"/>
    <w:basedOn w:val="a"/>
    <w:link w:val="Char6"/>
    <w:rsid w:val="003C142E"/>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rsid w:val="003C142E"/>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Char7"/>
    <w:rsid w:val="003C142E"/>
    <w:rPr>
      <w:b/>
      <w:bCs/>
      <w:szCs w:val="22"/>
    </w:rPr>
  </w:style>
  <w:style w:type="table" w:styleId="ad">
    <w:name w:val="Table Grid"/>
    <w:basedOn w:val="a1"/>
    <w:qFormat/>
    <w:rsid w:val="003C142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Theme"/>
    <w:basedOn w:val="a1"/>
    <w:rsid w:val="003C142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3C142E"/>
    <w:rPr>
      <w:b/>
      <w:bCs/>
    </w:rPr>
  </w:style>
  <w:style w:type="character" w:styleId="af0">
    <w:name w:val="page number"/>
    <w:basedOn w:val="a0"/>
    <w:rsid w:val="003C142E"/>
  </w:style>
  <w:style w:type="character" w:styleId="af1">
    <w:name w:val="Emphasis"/>
    <w:basedOn w:val="a0"/>
    <w:uiPriority w:val="20"/>
    <w:qFormat/>
    <w:rsid w:val="003C142E"/>
    <w:rPr>
      <w:i/>
      <w:iCs/>
    </w:rPr>
  </w:style>
  <w:style w:type="character" w:styleId="af2">
    <w:name w:val="Hyperlink"/>
    <w:basedOn w:val="a0"/>
    <w:uiPriority w:val="99"/>
    <w:unhideWhenUsed/>
    <w:rsid w:val="003C142E"/>
    <w:rPr>
      <w:color w:val="0000FF"/>
      <w:u w:val="single"/>
    </w:rPr>
  </w:style>
  <w:style w:type="character" w:styleId="af3">
    <w:name w:val="annotation reference"/>
    <w:basedOn w:val="a0"/>
    <w:rsid w:val="003C142E"/>
    <w:rPr>
      <w:sz w:val="21"/>
      <w:szCs w:val="21"/>
    </w:rPr>
  </w:style>
  <w:style w:type="character" w:customStyle="1" w:styleId="Char6">
    <w:name w:val="页眉 Char"/>
    <w:basedOn w:val="a0"/>
    <w:link w:val="aa"/>
    <w:rsid w:val="003C142E"/>
    <w:rPr>
      <w:kern w:val="2"/>
      <w:sz w:val="18"/>
      <w:szCs w:val="18"/>
    </w:rPr>
  </w:style>
  <w:style w:type="character" w:customStyle="1" w:styleId="Char5">
    <w:name w:val="页脚 Char"/>
    <w:basedOn w:val="a0"/>
    <w:link w:val="a9"/>
    <w:rsid w:val="003C142E"/>
    <w:rPr>
      <w:kern w:val="2"/>
      <w:sz w:val="18"/>
      <w:szCs w:val="18"/>
    </w:rPr>
  </w:style>
  <w:style w:type="character" w:customStyle="1" w:styleId="Char4">
    <w:name w:val="批注框文本 Char"/>
    <w:basedOn w:val="a0"/>
    <w:link w:val="a8"/>
    <w:rsid w:val="003C142E"/>
    <w:rPr>
      <w:kern w:val="2"/>
      <w:sz w:val="18"/>
      <w:szCs w:val="18"/>
    </w:rPr>
  </w:style>
  <w:style w:type="character" w:customStyle="1" w:styleId="3Char">
    <w:name w:val="标题 3 Char"/>
    <w:basedOn w:val="a0"/>
    <w:link w:val="3"/>
    <w:rsid w:val="003C142E"/>
    <w:rPr>
      <w:b/>
      <w:kern w:val="2"/>
      <w:sz w:val="32"/>
      <w:szCs w:val="24"/>
    </w:rPr>
  </w:style>
  <w:style w:type="paragraph" w:customStyle="1" w:styleId="footlogo">
    <w:name w:val="foot_logo"/>
    <w:basedOn w:val="a"/>
    <w:rsid w:val="003C142E"/>
    <w:pPr>
      <w:widowControl/>
      <w:spacing w:before="100" w:beforeAutospacing="1" w:after="100" w:afterAutospacing="1"/>
      <w:jc w:val="left"/>
    </w:pPr>
    <w:rPr>
      <w:rFonts w:ascii="宋体" w:hAnsi="宋体" w:cs="宋体"/>
      <w:kern w:val="0"/>
      <w:sz w:val="24"/>
    </w:rPr>
  </w:style>
  <w:style w:type="paragraph" w:customStyle="1" w:styleId="footfont">
    <w:name w:val="foot_font"/>
    <w:basedOn w:val="a"/>
    <w:qFormat/>
    <w:rsid w:val="003C142E"/>
    <w:pPr>
      <w:widowControl/>
      <w:spacing w:before="100" w:beforeAutospacing="1" w:after="100" w:afterAutospacing="1"/>
      <w:jc w:val="left"/>
    </w:pPr>
    <w:rPr>
      <w:rFonts w:ascii="宋体" w:hAnsi="宋体" w:cs="宋体"/>
      <w:kern w:val="0"/>
      <w:sz w:val="24"/>
    </w:rPr>
  </w:style>
  <w:style w:type="paragraph" w:customStyle="1" w:styleId="footweixin">
    <w:name w:val="foot_weixin"/>
    <w:basedOn w:val="a"/>
    <w:rsid w:val="003C142E"/>
    <w:pPr>
      <w:widowControl/>
      <w:spacing w:before="100" w:beforeAutospacing="1" w:after="100" w:afterAutospacing="1"/>
      <w:jc w:val="left"/>
    </w:pPr>
    <w:rPr>
      <w:rFonts w:ascii="宋体" w:hAnsi="宋体" w:cs="宋体"/>
      <w:kern w:val="0"/>
      <w:sz w:val="24"/>
    </w:rPr>
  </w:style>
  <w:style w:type="character" w:customStyle="1" w:styleId="font21">
    <w:name w:val="font21"/>
    <w:basedOn w:val="a0"/>
    <w:qFormat/>
    <w:rsid w:val="003C142E"/>
    <w:rPr>
      <w:rFonts w:ascii="仿宋_GB2312" w:eastAsia="仿宋_GB2312" w:cs="仿宋_GB2312" w:hint="eastAsia"/>
      <w:color w:val="000000"/>
      <w:sz w:val="24"/>
      <w:szCs w:val="24"/>
      <w:u w:val="none"/>
    </w:rPr>
  </w:style>
  <w:style w:type="character" w:customStyle="1" w:styleId="font41">
    <w:name w:val="font41"/>
    <w:basedOn w:val="a0"/>
    <w:qFormat/>
    <w:rsid w:val="003C142E"/>
    <w:rPr>
      <w:rFonts w:ascii="黑体" w:eastAsia="黑体" w:hAnsi="宋体" w:cs="黑体" w:hint="eastAsia"/>
      <w:color w:val="000000"/>
      <w:sz w:val="24"/>
      <w:szCs w:val="24"/>
      <w:u w:val="none"/>
    </w:rPr>
  </w:style>
  <w:style w:type="character" w:customStyle="1" w:styleId="font81">
    <w:name w:val="font81"/>
    <w:basedOn w:val="a0"/>
    <w:qFormat/>
    <w:rsid w:val="003C142E"/>
    <w:rPr>
      <w:rFonts w:ascii="仿宋_GB2312" w:eastAsia="仿宋_GB2312" w:cs="仿宋_GB2312" w:hint="eastAsia"/>
      <w:b/>
      <w:color w:val="000000"/>
      <w:sz w:val="24"/>
      <w:szCs w:val="24"/>
      <w:u w:val="none"/>
    </w:rPr>
  </w:style>
  <w:style w:type="character" w:customStyle="1" w:styleId="Char0">
    <w:name w:val="称呼 Char"/>
    <w:basedOn w:val="a0"/>
    <w:link w:val="a4"/>
    <w:rsid w:val="003C142E"/>
    <w:rPr>
      <w:rFonts w:ascii="黑体" w:eastAsia="黑体" w:hAnsi="黑体"/>
      <w:sz w:val="30"/>
      <w:szCs w:val="30"/>
    </w:rPr>
  </w:style>
  <w:style w:type="character" w:customStyle="1" w:styleId="Char1">
    <w:name w:val="结束语 Char"/>
    <w:basedOn w:val="a0"/>
    <w:link w:val="a5"/>
    <w:rsid w:val="003C142E"/>
    <w:rPr>
      <w:rFonts w:ascii="黑体" w:eastAsia="黑体" w:hAnsi="黑体"/>
      <w:sz w:val="30"/>
      <w:szCs w:val="30"/>
    </w:rPr>
  </w:style>
  <w:style w:type="character" w:customStyle="1" w:styleId="font01">
    <w:name w:val="font01"/>
    <w:basedOn w:val="a0"/>
    <w:rsid w:val="003C142E"/>
    <w:rPr>
      <w:rFonts w:ascii="仿宋_GB2312" w:eastAsia="仿宋_GB2312" w:cs="仿宋_GB2312" w:hint="eastAsia"/>
      <w:color w:val="000000"/>
      <w:sz w:val="22"/>
      <w:szCs w:val="22"/>
      <w:u w:val="none"/>
      <w:vertAlign w:val="superscript"/>
    </w:rPr>
  </w:style>
  <w:style w:type="character" w:customStyle="1" w:styleId="Char">
    <w:name w:val="批注文字 Char"/>
    <w:basedOn w:val="a0"/>
    <w:link w:val="a3"/>
    <w:rsid w:val="003C142E"/>
    <w:rPr>
      <w:kern w:val="2"/>
      <w:sz w:val="21"/>
      <w:szCs w:val="24"/>
    </w:rPr>
  </w:style>
  <w:style w:type="character" w:customStyle="1" w:styleId="Char7">
    <w:name w:val="批注主题 Char"/>
    <w:basedOn w:val="Char"/>
    <w:link w:val="ac"/>
    <w:rsid w:val="003C142E"/>
    <w:rPr>
      <w:b/>
      <w:bCs/>
      <w:kern w:val="2"/>
      <w:sz w:val="21"/>
      <w:szCs w:val="22"/>
    </w:rPr>
  </w:style>
  <w:style w:type="character" w:customStyle="1" w:styleId="MSGothic">
    <w:name w:val="正文文本 + MS Gothic"/>
    <w:basedOn w:val="af4"/>
    <w:rsid w:val="003C142E"/>
    <w:rPr>
      <w:rFonts w:ascii="MS Gothic" w:eastAsia="MS Gothic" w:hAnsi="MS Gothic" w:cs="MS Gothic"/>
      <w:color w:val="000000"/>
      <w:spacing w:val="0"/>
      <w:w w:val="100"/>
      <w:position w:val="0"/>
      <w:sz w:val="16"/>
      <w:szCs w:val="16"/>
      <w:u w:val="none"/>
      <w:shd w:val="clear" w:color="auto" w:fill="FFFFFF"/>
      <w:lang w:val="en-US"/>
    </w:rPr>
  </w:style>
  <w:style w:type="character" w:customStyle="1" w:styleId="af4">
    <w:name w:val="正文文本_"/>
    <w:basedOn w:val="a0"/>
    <w:link w:val="30"/>
    <w:rsid w:val="003C142E"/>
    <w:rPr>
      <w:rFonts w:ascii="Arial Unicode MS" w:eastAsia="Arial Unicode MS" w:hAnsi="Arial Unicode MS"/>
      <w:sz w:val="16"/>
      <w:szCs w:val="16"/>
      <w:shd w:val="clear" w:color="auto" w:fill="FFFFFF"/>
    </w:rPr>
  </w:style>
  <w:style w:type="paragraph" w:customStyle="1" w:styleId="30">
    <w:name w:val="正文文本3"/>
    <w:basedOn w:val="a"/>
    <w:link w:val="af4"/>
    <w:rsid w:val="003C142E"/>
    <w:pPr>
      <w:shd w:val="clear" w:color="auto" w:fill="FFFFFF"/>
      <w:spacing w:before="120" w:line="0" w:lineRule="atLeast"/>
      <w:jc w:val="left"/>
    </w:pPr>
    <w:rPr>
      <w:rFonts w:ascii="Arial Unicode MS" w:eastAsia="Arial Unicode MS" w:hAnsi="Arial Unicode MS"/>
      <w:kern w:val="0"/>
      <w:sz w:val="16"/>
      <w:szCs w:val="16"/>
      <w:shd w:val="clear" w:color="auto" w:fill="FFFFFF"/>
    </w:rPr>
  </w:style>
  <w:style w:type="character" w:customStyle="1" w:styleId="1pt">
    <w:name w:val="正文文本 + 间距 1 pt"/>
    <w:basedOn w:val="af4"/>
    <w:rsid w:val="003C142E"/>
    <w:rPr>
      <w:rFonts w:ascii="Arial Unicode MS" w:eastAsia="Arial Unicode MS" w:hAnsi="Arial Unicode MS"/>
      <w:color w:val="000000"/>
      <w:spacing w:val="30"/>
      <w:w w:val="100"/>
      <w:position w:val="0"/>
      <w:sz w:val="16"/>
      <w:szCs w:val="16"/>
      <w:u w:val="none"/>
      <w:shd w:val="clear" w:color="auto" w:fill="FFFFFF"/>
      <w:lang w:val="zh-TW"/>
    </w:rPr>
  </w:style>
  <w:style w:type="character" w:customStyle="1" w:styleId="2">
    <w:name w:val="正文文本2"/>
    <w:basedOn w:val="af4"/>
    <w:rsid w:val="003C142E"/>
    <w:rPr>
      <w:rFonts w:ascii="Arial Unicode MS" w:eastAsia="Arial Unicode MS" w:hAnsi="Arial Unicode MS"/>
      <w:color w:val="000000"/>
      <w:spacing w:val="0"/>
      <w:w w:val="100"/>
      <w:position w:val="0"/>
      <w:sz w:val="16"/>
      <w:szCs w:val="16"/>
      <w:u w:val="single"/>
      <w:shd w:val="clear" w:color="auto" w:fill="FFFFFF"/>
      <w:lang w:val="zh-TW"/>
    </w:rPr>
  </w:style>
  <w:style w:type="character" w:customStyle="1" w:styleId="Char2">
    <w:name w:val="纯文本 Char"/>
    <w:basedOn w:val="a0"/>
    <w:link w:val="a6"/>
    <w:rsid w:val="003C142E"/>
    <w:rPr>
      <w:rFonts w:ascii="宋体" w:hAnsi="Courier New" w:cs="Courier New"/>
      <w:szCs w:val="21"/>
    </w:rPr>
  </w:style>
  <w:style w:type="character" w:customStyle="1" w:styleId="3ArialUnicodeMS">
    <w:name w:val="正文文本 (3) + Arial Unicode MS"/>
    <w:basedOn w:val="a0"/>
    <w:rsid w:val="003C142E"/>
    <w:rPr>
      <w:rFonts w:ascii="Arial Unicode MS" w:eastAsia="Arial Unicode MS" w:hAnsi="Arial Unicode MS" w:cs="Arial Unicode MS"/>
      <w:color w:val="000000"/>
      <w:spacing w:val="0"/>
      <w:w w:val="100"/>
      <w:position w:val="0"/>
      <w:sz w:val="16"/>
      <w:szCs w:val="16"/>
      <w:shd w:val="clear" w:color="auto" w:fill="FFFFFF"/>
      <w:lang w:val="zh-TW"/>
    </w:rPr>
  </w:style>
  <w:style w:type="character" w:customStyle="1" w:styleId="Char3">
    <w:name w:val="日期 Char"/>
    <w:basedOn w:val="a0"/>
    <w:link w:val="a7"/>
    <w:rsid w:val="003C142E"/>
    <w:rPr>
      <w:kern w:val="2"/>
      <w:sz w:val="21"/>
      <w:szCs w:val="24"/>
    </w:rPr>
  </w:style>
  <w:style w:type="character" w:customStyle="1" w:styleId="Char10">
    <w:name w:val="纯文本 Char1"/>
    <w:basedOn w:val="a0"/>
    <w:rsid w:val="003C142E"/>
    <w:rPr>
      <w:rFonts w:ascii="宋体" w:hAnsi="Courier New" w:cs="Courier New"/>
      <w:kern w:val="2"/>
      <w:sz w:val="21"/>
      <w:szCs w:val="21"/>
    </w:rPr>
  </w:style>
  <w:style w:type="paragraph" w:customStyle="1" w:styleId="Char8">
    <w:name w:val="Char"/>
    <w:basedOn w:val="a"/>
    <w:rsid w:val="003C142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1066"/>
    <customShpInfo spid="_x0000_s1067"/>
    <customShpInfo spid="_x0000_s1058"/>
  </customShpExts>
</s:customData>
</file>

<file path=customXml/itemProps1.xml><?xml version="1.0" encoding="utf-8"?>
<ds:datastoreItem xmlns:ds="http://schemas.openxmlformats.org/officeDocument/2006/customXml" ds:itemID="{9C9BEFC0-C559-4287-BA41-118A6AF3BD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1152</Characters>
  <Application>Microsoft Office Word</Application>
  <DocSecurity>0</DocSecurity>
  <Lines>9</Lines>
  <Paragraphs>2</Paragraphs>
  <ScaleCrop>false</ScaleCrop>
  <Company>微软中国</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微软用户</cp:lastModifiedBy>
  <cp:revision>2</cp:revision>
  <cp:lastPrinted>2022-05-02T01:34:00Z</cp:lastPrinted>
  <dcterms:created xsi:type="dcterms:W3CDTF">2023-04-17T07:38:00Z</dcterms:created>
  <dcterms:modified xsi:type="dcterms:W3CDTF">2023-04-17T07:38:00Z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683CE0E715E44E4894640671CCF94D79</vt:lpwstr>
  </property>
</Properties>
</file>