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1"/>
        <w:rPr>
          <w:rFonts w:hint="eastAsia" w:ascii="宋体" w:hAnsi="宋体" w:eastAsia="宋体" w:cs="宋体"/>
          <w:b/>
          <w:bCs/>
          <w:sz w:val="30"/>
          <w:szCs w:val="30"/>
          <w:highlight w:val="none"/>
        </w:rPr>
      </w:pPr>
      <w:bookmarkStart w:id="0" w:name="_Toc26174"/>
      <w:bookmarkStart w:id="1" w:name="_Toc10933"/>
      <w:bookmarkStart w:id="2" w:name="_Toc19617"/>
      <w:r>
        <w:rPr>
          <w:rFonts w:hint="eastAsia" w:ascii="宋体" w:hAnsi="宋体" w:eastAsia="宋体" w:cs="宋体"/>
          <w:b/>
          <w:bCs/>
          <w:sz w:val="30"/>
          <w:szCs w:val="30"/>
          <w:highlight w:val="none"/>
        </w:rPr>
        <w:t>安全生产奖惩制度</w:t>
      </w:r>
      <w:bookmarkEnd w:id="0"/>
      <w:bookmarkEnd w:id="1"/>
      <w:bookmarkEnd w:id="2"/>
    </w:p>
    <w:tbl>
      <w:tblPr>
        <w:tblStyle w:val="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358"/>
        <w:gridCol w:w="1315"/>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545" w:type="dxa"/>
            <w:gridSpan w:val="2"/>
            <w:vMerge w:val="restart"/>
            <w:noWrap w:val="0"/>
            <w:vAlign w:val="center"/>
          </w:tcPr>
          <w:p>
            <w:pPr>
              <w:spacing w:line="240" w:lineRule="exact"/>
              <w:jc w:val="center"/>
              <w:rPr>
                <w:rFonts w:ascii="宋体" w:hAnsi="宋体"/>
                <w:bCs/>
                <w:sz w:val="24"/>
                <w:szCs w:val="24"/>
              </w:rPr>
            </w:pPr>
            <w:r>
              <w:rPr>
                <w:rFonts w:hint="eastAsia" w:ascii="宋体" w:hAnsi="宋体"/>
                <w:sz w:val="24"/>
                <w:szCs w:val="24"/>
                <w:lang w:eastAsia="zh-CN"/>
              </w:rPr>
              <w:t>四川省西充县金源花炮有限责任</w:t>
            </w:r>
            <w:r>
              <w:rPr>
                <w:rFonts w:hint="eastAsia" w:ascii="宋体" w:hAnsi="宋体"/>
                <w:sz w:val="24"/>
                <w:szCs w:val="24"/>
              </w:rPr>
              <w:t>公司</w:t>
            </w:r>
          </w:p>
          <w:p>
            <w:pPr>
              <w:spacing w:line="240" w:lineRule="exact"/>
              <w:jc w:val="center"/>
              <w:rPr>
                <w:rFonts w:hint="eastAsia" w:ascii="宋体" w:hAnsi="宋体" w:eastAsia="宋体"/>
                <w:bCs/>
                <w:sz w:val="24"/>
                <w:szCs w:val="24"/>
                <w:lang w:eastAsia="zh-CN"/>
              </w:rPr>
            </w:pPr>
            <w:r>
              <w:rPr>
                <w:rFonts w:hint="eastAsia" w:ascii="宋体" w:hAnsi="宋体"/>
                <w:sz w:val="24"/>
                <w:szCs w:val="24"/>
              </w:rPr>
              <w:t>安全生产</w:t>
            </w:r>
            <w:r>
              <w:rPr>
                <w:rFonts w:hint="eastAsia" w:ascii="宋体" w:hAnsi="宋体"/>
                <w:sz w:val="24"/>
                <w:szCs w:val="24"/>
                <w:lang w:eastAsia="zh-CN"/>
              </w:rPr>
              <w:t>规章制度</w:t>
            </w:r>
          </w:p>
        </w:tc>
        <w:tc>
          <w:tcPr>
            <w:tcW w:w="4614" w:type="dxa"/>
            <w:gridSpan w:val="2"/>
            <w:noWrap w:val="0"/>
            <w:vAlign w:val="center"/>
          </w:tcPr>
          <w:p>
            <w:pPr>
              <w:spacing w:line="240" w:lineRule="exact"/>
              <w:rPr>
                <w:rFonts w:hint="default" w:ascii="宋体" w:hAnsi="宋体" w:eastAsia="宋体"/>
                <w:bCs/>
                <w:sz w:val="24"/>
                <w:szCs w:val="24"/>
                <w:lang w:val="en-US" w:eastAsia="zh-CN"/>
              </w:rPr>
            </w:pPr>
            <w:r>
              <w:rPr>
                <w:rFonts w:hint="eastAsia" w:ascii="宋体" w:hAnsi="宋体"/>
                <w:bCs/>
                <w:sz w:val="24"/>
                <w:szCs w:val="24"/>
              </w:rPr>
              <w:t>文件编号：GLZD-202</w:t>
            </w:r>
            <w:r>
              <w:rPr>
                <w:rFonts w:hint="eastAsia" w:ascii="宋体" w:hAnsi="宋体"/>
                <w:bCs/>
                <w:sz w:val="24"/>
                <w:szCs w:val="24"/>
                <w:lang w:val="en-US" w:eastAsia="zh-CN"/>
              </w:rPr>
              <w:t>2-01-27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4545" w:type="dxa"/>
            <w:gridSpan w:val="2"/>
            <w:vMerge w:val="continue"/>
            <w:noWrap w:val="0"/>
            <w:vAlign w:val="center"/>
          </w:tcPr>
          <w:p>
            <w:pPr>
              <w:spacing w:line="240" w:lineRule="exact"/>
              <w:jc w:val="center"/>
              <w:rPr>
                <w:rFonts w:hint="eastAsia" w:ascii="宋体" w:hAnsi="宋体"/>
                <w:bCs/>
                <w:sz w:val="24"/>
                <w:szCs w:val="24"/>
              </w:rPr>
            </w:pPr>
          </w:p>
        </w:tc>
        <w:tc>
          <w:tcPr>
            <w:tcW w:w="4614" w:type="dxa"/>
            <w:gridSpan w:val="2"/>
            <w:noWrap w:val="0"/>
            <w:vAlign w:val="center"/>
          </w:tcPr>
          <w:p>
            <w:pPr>
              <w:spacing w:line="240" w:lineRule="exact"/>
              <w:rPr>
                <w:rFonts w:hint="eastAsia" w:ascii="宋体" w:hAnsi="宋体"/>
                <w:bCs/>
                <w:sz w:val="24"/>
                <w:szCs w:val="24"/>
              </w:rPr>
            </w:pPr>
            <w:r>
              <w:rPr>
                <w:rFonts w:hint="eastAsia" w:ascii="宋体" w:hAnsi="宋体"/>
                <w:bCs/>
                <w:sz w:val="24"/>
                <w:szCs w:val="24"/>
              </w:rPr>
              <w:t>第1页　　共</w:t>
            </w:r>
            <w:r>
              <w:rPr>
                <w:rFonts w:hint="eastAsia" w:ascii="宋体" w:hAnsi="宋体"/>
                <w:bCs/>
                <w:sz w:val="24"/>
                <w:szCs w:val="24"/>
                <w:lang w:val="en-US" w:eastAsia="zh-CN"/>
              </w:rPr>
              <w:t>2</w:t>
            </w:r>
            <w:r>
              <w:rPr>
                <w:rFonts w:hint="eastAsia" w:ascii="宋体" w:hAnsi="宋体"/>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4545" w:type="dxa"/>
            <w:gridSpan w:val="2"/>
            <w:noWrap w:val="0"/>
            <w:vAlign w:val="center"/>
          </w:tcPr>
          <w:p>
            <w:pPr>
              <w:pStyle w:val="3"/>
              <w:spacing w:line="240" w:lineRule="exact"/>
              <w:jc w:val="center"/>
              <w:rPr>
                <w:rFonts w:hint="eastAsia" w:hAnsi="宋体" w:eastAsia="宋体"/>
                <w:bCs/>
                <w:sz w:val="24"/>
                <w:szCs w:val="24"/>
                <w:lang w:eastAsia="zh-CN"/>
              </w:rPr>
            </w:pPr>
            <w:r>
              <w:rPr>
                <w:rFonts w:hint="eastAsia" w:hAnsi="宋体" w:eastAsia="宋体" w:cs="宋体"/>
                <w:b w:val="0"/>
                <w:bCs w:val="0"/>
                <w:sz w:val="24"/>
                <w:szCs w:val="24"/>
                <w:highlight w:val="none"/>
                <w:lang w:eastAsia="zh-CN"/>
              </w:rPr>
              <w:t>安全生产奖惩</w:t>
            </w:r>
            <w:r>
              <w:rPr>
                <w:rFonts w:hint="eastAsia" w:ascii="宋体" w:hAnsi="宋体" w:eastAsia="宋体" w:cs="宋体"/>
                <w:b w:val="0"/>
                <w:bCs w:val="0"/>
                <w:sz w:val="24"/>
                <w:szCs w:val="24"/>
                <w:highlight w:val="none"/>
              </w:rPr>
              <w:t>制度</w:t>
            </w:r>
          </w:p>
        </w:tc>
        <w:tc>
          <w:tcPr>
            <w:tcW w:w="4614" w:type="dxa"/>
            <w:gridSpan w:val="2"/>
            <w:noWrap w:val="0"/>
            <w:vAlign w:val="center"/>
          </w:tcPr>
          <w:p>
            <w:pPr>
              <w:spacing w:line="240" w:lineRule="exact"/>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2</w:t>
            </w:r>
            <w:r>
              <w:rPr>
                <w:rFonts w:hint="eastAsia" w:ascii="宋体" w:hAnsi="宋体"/>
                <w:bCs/>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187" w:type="dxa"/>
            <w:noWrap w:val="0"/>
            <w:vAlign w:val="center"/>
          </w:tcPr>
          <w:p>
            <w:pPr>
              <w:spacing w:line="240" w:lineRule="exact"/>
              <w:rPr>
                <w:rFonts w:hint="eastAsia" w:ascii="宋体" w:hAnsi="宋体"/>
                <w:bCs/>
                <w:sz w:val="24"/>
                <w:szCs w:val="24"/>
              </w:rPr>
            </w:pPr>
            <w:r>
              <w:rPr>
                <w:rFonts w:hint="eastAsia" w:ascii="宋体" w:hAnsi="宋体"/>
                <w:bCs/>
                <w:sz w:val="24"/>
                <w:szCs w:val="24"/>
              </w:rPr>
              <w:t>修订时间</w:t>
            </w:r>
          </w:p>
        </w:tc>
        <w:tc>
          <w:tcPr>
            <w:tcW w:w="3358" w:type="dxa"/>
            <w:noWrap w:val="0"/>
            <w:vAlign w:val="center"/>
          </w:tcPr>
          <w:p>
            <w:pPr>
              <w:spacing w:line="240" w:lineRule="exact"/>
              <w:jc w:val="center"/>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2</w:t>
            </w:r>
            <w:r>
              <w:rPr>
                <w:rFonts w:hint="eastAsia" w:ascii="宋体" w:hAnsi="宋体"/>
                <w:bCs/>
                <w:sz w:val="24"/>
                <w:szCs w:val="24"/>
              </w:rPr>
              <w:t>-</w:t>
            </w: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bCs/>
                <w:sz w:val="24"/>
                <w:szCs w:val="24"/>
                <w:lang w:val="en-US" w:eastAsia="zh-CN"/>
              </w:rPr>
              <w:t>28</w:t>
            </w:r>
          </w:p>
        </w:tc>
        <w:tc>
          <w:tcPr>
            <w:tcW w:w="1315" w:type="dxa"/>
            <w:noWrap w:val="0"/>
            <w:vAlign w:val="center"/>
          </w:tcPr>
          <w:p>
            <w:pPr>
              <w:spacing w:line="240" w:lineRule="exact"/>
              <w:rPr>
                <w:rFonts w:hint="eastAsia" w:ascii="宋体" w:hAnsi="宋体"/>
                <w:bCs/>
                <w:sz w:val="24"/>
                <w:szCs w:val="24"/>
              </w:rPr>
            </w:pPr>
            <w:r>
              <w:rPr>
                <w:rFonts w:hint="eastAsia" w:ascii="宋体" w:hAnsi="宋体" w:cs="宋体"/>
                <w:bCs/>
                <w:sz w:val="24"/>
                <w:szCs w:val="24"/>
              </w:rPr>
              <w:t>颁布日期</w:t>
            </w:r>
          </w:p>
        </w:tc>
        <w:tc>
          <w:tcPr>
            <w:tcW w:w="3299" w:type="dxa"/>
            <w:noWrap w:val="0"/>
            <w:vAlign w:val="center"/>
          </w:tcPr>
          <w:p>
            <w:pPr>
              <w:spacing w:line="240" w:lineRule="exact"/>
              <w:rPr>
                <w:rFonts w:hint="default" w:ascii="宋体" w:hAnsi="宋体" w:eastAsia="宋体"/>
                <w:bCs/>
                <w:sz w:val="24"/>
                <w:szCs w:val="24"/>
                <w:lang w:val="en-US" w:eastAsia="zh-CN"/>
              </w:rPr>
            </w:pPr>
            <w:r>
              <w:rPr>
                <w:rFonts w:hint="eastAsia" w:ascii="宋体" w:hAnsi="宋体" w:cs="宋体"/>
                <w:bCs/>
                <w:sz w:val="24"/>
                <w:szCs w:val="24"/>
              </w:rPr>
              <w:t>202</w:t>
            </w: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w:t>
            </w:r>
            <w:r>
              <w:rPr>
                <w:rFonts w:hint="eastAsia" w:ascii="宋体" w:hAnsi="宋体" w:cs="宋体"/>
                <w:bCs/>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187" w:type="dxa"/>
            <w:noWrap w:val="0"/>
            <w:vAlign w:val="center"/>
          </w:tcPr>
          <w:p>
            <w:pPr>
              <w:spacing w:line="240" w:lineRule="exact"/>
              <w:rPr>
                <w:rFonts w:hint="eastAsia" w:ascii="宋体" w:hAnsi="宋体"/>
                <w:bCs/>
                <w:sz w:val="24"/>
                <w:szCs w:val="24"/>
              </w:rPr>
            </w:pPr>
            <w:r>
              <w:rPr>
                <w:rFonts w:hint="eastAsia" w:ascii="宋体" w:hAnsi="宋体" w:cs="宋体"/>
                <w:bCs/>
                <w:sz w:val="24"/>
                <w:szCs w:val="24"/>
              </w:rPr>
              <w:t>编制人员</w:t>
            </w:r>
          </w:p>
        </w:tc>
        <w:tc>
          <w:tcPr>
            <w:tcW w:w="3358" w:type="dxa"/>
            <w:noWrap w:val="0"/>
            <w:vAlign w:val="center"/>
          </w:tcPr>
          <w:p>
            <w:pPr>
              <w:spacing w:line="240" w:lineRule="exact"/>
              <w:jc w:val="center"/>
              <w:rPr>
                <w:rFonts w:hint="eastAsia" w:ascii="宋体" w:hAnsi="宋体" w:eastAsia="宋体"/>
                <w:bCs/>
                <w:sz w:val="24"/>
                <w:szCs w:val="24"/>
                <w:lang w:eastAsia="zh-CN"/>
              </w:rPr>
            </w:pPr>
            <w:r>
              <w:rPr>
                <w:rFonts w:hint="eastAsia" w:ascii="宋体" w:hAnsi="宋体"/>
                <w:bCs/>
                <w:sz w:val="24"/>
                <w:szCs w:val="24"/>
                <w:lang w:eastAsia="zh-CN"/>
              </w:rPr>
              <w:t>陈志勇</w:t>
            </w:r>
          </w:p>
        </w:tc>
        <w:tc>
          <w:tcPr>
            <w:tcW w:w="1315" w:type="dxa"/>
            <w:noWrap w:val="0"/>
            <w:vAlign w:val="center"/>
          </w:tcPr>
          <w:p>
            <w:pPr>
              <w:spacing w:line="240" w:lineRule="exact"/>
              <w:rPr>
                <w:rFonts w:hint="eastAsia" w:ascii="宋体" w:hAnsi="宋体" w:cs="宋体"/>
                <w:bCs/>
                <w:sz w:val="24"/>
                <w:szCs w:val="24"/>
              </w:rPr>
            </w:pPr>
            <w:r>
              <w:rPr>
                <w:rFonts w:hint="eastAsia" w:ascii="宋体" w:hAnsi="宋体" w:cs="宋体"/>
                <w:bCs/>
                <w:sz w:val="24"/>
                <w:szCs w:val="24"/>
              </w:rPr>
              <w:t>审批人员</w:t>
            </w:r>
          </w:p>
        </w:tc>
        <w:tc>
          <w:tcPr>
            <w:tcW w:w="3299" w:type="dxa"/>
            <w:noWrap w:val="0"/>
            <w:vAlign w:val="center"/>
          </w:tcPr>
          <w:p>
            <w:pPr>
              <w:spacing w:line="240" w:lineRule="exact"/>
              <w:ind w:firstLine="240" w:firstLineChars="0"/>
              <w:rPr>
                <w:rFonts w:hint="eastAsia" w:ascii="宋体" w:hAnsi="宋体" w:eastAsia="宋体" w:cs="宋体"/>
                <w:bCs/>
                <w:sz w:val="24"/>
                <w:szCs w:val="24"/>
                <w:lang w:eastAsia="zh-CN"/>
              </w:rPr>
            </w:pPr>
            <w:r>
              <w:rPr>
                <w:rFonts w:hint="eastAsia" w:ascii="宋体" w:hAnsi="宋体" w:cs="宋体"/>
                <w:bCs/>
                <w:sz w:val="24"/>
                <w:szCs w:val="24"/>
                <w:lang w:eastAsia="zh-CN"/>
              </w:rPr>
              <w:t>范满全</w:t>
            </w:r>
          </w:p>
        </w:tc>
      </w:tr>
    </w:tbl>
    <w:p>
      <w:pPr>
        <w:pStyle w:val="2"/>
        <w:rPr>
          <w:rFonts w:hint="eastAsia"/>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80" w:firstLineChars="200"/>
        <w:textAlignment w:val="auto"/>
        <w:outlineLvl w:val="2"/>
        <w:rPr>
          <w:rFonts w:hint="eastAsia" w:ascii="宋体" w:hAnsi="宋体" w:eastAsia="宋体" w:cs="宋体"/>
          <w:sz w:val="24"/>
          <w:szCs w:val="24"/>
        </w:rPr>
      </w:pPr>
      <w:bookmarkStart w:id="3" w:name="_Toc3144"/>
      <w:bookmarkStart w:id="4" w:name="_Toc23926"/>
      <w:bookmarkStart w:id="5" w:name="_Toc14581"/>
      <w:bookmarkStart w:id="6" w:name="_Toc14633"/>
      <w:r>
        <w:rPr>
          <w:rFonts w:hint="eastAsia" w:ascii="宋体" w:hAnsi="宋体" w:eastAsia="宋体" w:cs="宋体"/>
          <w:sz w:val="24"/>
          <w:szCs w:val="24"/>
          <w:lang w:val="en-US" w:eastAsia="zh-CN"/>
        </w:rPr>
        <w:t>1.</w:t>
      </w:r>
      <w:r>
        <w:rPr>
          <w:rFonts w:hint="eastAsia" w:ascii="宋体" w:hAnsi="宋体" w:eastAsia="宋体" w:cs="宋体"/>
          <w:sz w:val="24"/>
          <w:szCs w:val="24"/>
        </w:rPr>
        <w:t>奖励</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我司</w:t>
      </w:r>
      <w:r>
        <w:rPr>
          <w:rFonts w:hint="eastAsia" w:ascii="宋体" w:hAnsi="宋体" w:eastAsia="宋体" w:cs="宋体"/>
          <w:sz w:val="24"/>
          <w:szCs w:val="24"/>
        </w:rPr>
        <w:t>每年对在安全生产方面提出合理化建议、有技术革新、排查生产安全隐患有贡献、无违章违纪记录等的员工，根据其对</w:t>
      </w:r>
      <w:r>
        <w:rPr>
          <w:rFonts w:hint="eastAsia" w:ascii="宋体" w:hAnsi="宋体" w:eastAsia="宋体" w:cs="宋体"/>
          <w:sz w:val="24"/>
          <w:szCs w:val="24"/>
          <w:lang w:eastAsia="zh-CN"/>
        </w:rPr>
        <w:t>我司</w:t>
      </w:r>
      <w:r>
        <w:rPr>
          <w:rFonts w:hint="eastAsia" w:ascii="宋体" w:hAnsi="宋体" w:eastAsia="宋体" w:cs="宋体"/>
          <w:sz w:val="24"/>
          <w:szCs w:val="24"/>
        </w:rPr>
        <w:t>安全生产贡献的大小实行年终评比奖励</w:t>
      </w:r>
      <w:r>
        <w:rPr>
          <w:rFonts w:hint="eastAsia" w:ascii="宋体" w:hAnsi="宋体" w:eastAsia="宋体" w:cs="宋体"/>
          <w:sz w:val="24"/>
          <w:szCs w:val="24"/>
          <w:lang w:eastAsia="zh-CN"/>
        </w:rPr>
        <w:t>。</w:t>
      </w:r>
      <w:r>
        <w:rPr>
          <w:rFonts w:hint="eastAsia" w:ascii="宋体" w:hAnsi="宋体" w:eastAsia="宋体" w:cs="宋体"/>
          <w:sz w:val="24"/>
          <w:szCs w:val="24"/>
        </w:rPr>
        <w:t>对年度安全工作成绩显著，无任何大小事故的各生产工序的专（兼）职安全员、操作人员、生产班组、车间设年度安全奖。</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sz w:val="24"/>
          <w:szCs w:val="24"/>
        </w:rPr>
      </w:pPr>
      <w:bookmarkStart w:id="7" w:name="_Toc5031"/>
      <w:bookmarkStart w:id="8" w:name="_Toc22317"/>
      <w:bookmarkStart w:id="9" w:name="_Toc580"/>
      <w:bookmarkStart w:id="10" w:name="_Toc13064"/>
      <w:r>
        <w:rPr>
          <w:rFonts w:hint="eastAsia" w:ascii="宋体" w:hAnsi="宋体" w:eastAsia="宋体" w:cs="宋体"/>
          <w:sz w:val="24"/>
          <w:szCs w:val="24"/>
          <w:lang w:val="en-US" w:eastAsia="zh-CN"/>
        </w:rPr>
        <w:t>2.</w:t>
      </w:r>
      <w:r>
        <w:rPr>
          <w:rFonts w:hint="eastAsia" w:ascii="宋体" w:hAnsi="宋体" w:eastAsia="宋体" w:cs="宋体"/>
          <w:sz w:val="24"/>
          <w:szCs w:val="24"/>
        </w:rPr>
        <w:t>惩罚</w:t>
      </w:r>
      <w:bookmarkEnd w:id="7"/>
      <w:bookmarkEnd w:id="8"/>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操作人员私自顶岗、串岗或离岗，每次罚款20~100元。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因操作人员未按操作规程对设备进行正确使用和维护保养，造成设备损坏事故的，罚款50元。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操作人员工作时不正确使用或不使用安全防护装置的，每次罚款20~50元。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操作人员工作时不按规定穿戴劳保用品和带小孩及无关人员进入车间的，每次处罚款20~50元。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操作人员在生产中起哄、吵闹或在工作时睡觉者每次罚款20~100元。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生产结束后，不按要求打扫清洁卫生、收捡带药产品的，每次罚款10元；班组长不作安排和检查监督、该锁的门未锁的，每次罚款10元。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因违章操作造成安全事故或经济损失的，罚款200~500元，直接责任人还应赔偿直接损失的30~50%。</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违反安全技术操作规程的每次罚款20~100元。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违反工艺规程操作的，每次罚款50~200元；由此而造成安全事故、产品质量事故或设备损坏事故的加重处罚。</w:t>
      </w:r>
    </w:p>
    <w:p>
      <w:pPr>
        <w:keepNext w:val="0"/>
        <w:keepLines w:val="0"/>
        <w:pageBreakBefore w:val="0"/>
        <w:widowControl w:val="0"/>
        <w:numPr>
          <w:ilvl w:val="0"/>
          <w:numId w:val="0"/>
        </w:numPr>
        <w:tabs>
          <w:tab w:val="left" w:pos="220"/>
          <w:tab w:val="left" w:pos="630"/>
          <w:tab w:val="left" w:pos="640"/>
        </w:tabs>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2.10</w:t>
      </w:r>
      <w:r>
        <w:rPr>
          <w:rFonts w:hint="eastAsia" w:ascii="宋体" w:hAnsi="宋体" w:eastAsia="宋体" w:cs="宋体"/>
          <w:sz w:val="24"/>
          <w:szCs w:val="24"/>
        </w:rPr>
        <w:t>不按管理要求如实填写原始生产记录反映生产运行状况，情节严重者，每次罚款50~100元。</w:t>
      </w:r>
    </w:p>
    <w:p>
      <w:pPr>
        <w:keepNext w:val="0"/>
        <w:keepLines w:val="0"/>
        <w:pageBreakBefore w:val="0"/>
        <w:widowControl w:val="0"/>
        <w:numPr>
          <w:ilvl w:val="0"/>
          <w:numId w:val="0"/>
        </w:numPr>
        <w:tabs>
          <w:tab w:val="left" w:pos="210"/>
          <w:tab w:val="left" w:pos="630"/>
        </w:tabs>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现场管理人员不认真履行职责，对明显违反安全操作规程和工艺规程的行为视而不见或不立即制止和纠正的每次罚款50~200元。</w:t>
      </w:r>
    </w:p>
    <w:p>
      <w:pPr>
        <w:keepNext w:val="0"/>
        <w:keepLines w:val="0"/>
        <w:pageBreakBefore w:val="0"/>
        <w:widowControl w:val="0"/>
        <w:numPr>
          <w:ilvl w:val="0"/>
          <w:numId w:val="0"/>
        </w:numPr>
        <w:tabs>
          <w:tab w:val="left" w:pos="210"/>
          <w:tab w:val="left" w:pos="630"/>
        </w:tabs>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违反国家、上级主管部门、</w:t>
      </w:r>
      <w:r>
        <w:rPr>
          <w:rFonts w:hint="eastAsia" w:ascii="宋体" w:hAnsi="宋体" w:eastAsia="宋体" w:cs="宋体"/>
          <w:sz w:val="24"/>
          <w:szCs w:val="24"/>
          <w:lang w:eastAsia="zh-CN"/>
        </w:rPr>
        <w:t>我司</w:t>
      </w:r>
      <w:r>
        <w:rPr>
          <w:rFonts w:hint="eastAsia" w:ascii="宋体" w:hAnsi="宋体" w:eastAsia="宋体" w:cs="宋体"/>
          <w:sz w:val="24"/>
          <w:szCs w:val="24"/>
        </w:rPr>
        <w:t>等有关安全法律、法规和规章制度，造成严重后果的，依据有关法律法规处理。</w:t>
      </w:r>
    </w:p>
    <w:p>
      <w:pPr>
        <w:keepNext w:val="0"/>
        <w:keepLines w:val="0"/>
        <w:pageBreakBefore w:val="0"/>
        <w:widowControl w:val="0"/>
        <w:numPr>
          <w:ilvl w:val="0"/>
          <w:numId w:val="0"/>
        </w:numPr>
        <w:tabs>
          <w:tab w:val="left" w:pos="210"/>
          <w:tab w:val="left" w:pos="630"/>
        </w:tabs>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2.13</w:t>
      </w:r>
      <w:r>
        <w:rPr>
          <w:rFonts w:hint="eastAsia" w:ascii="宋体" w:hAnsi="宋体" w:eastAsia="宋体" w:cs="宋体"/>
          <w:sz w:val="24"/>
          <w:szCs w:val="24"/>
        </w:rPr>
        <w:t>任何人均不得拒绝、阻拦</w:t>
      </w:r>
      <w:r>
        <w:rPr>
          <w:rFonts w:hint="eastAsia" w:ascii="宋体" w:hAnsi="宋体" w:eastAsia="宋体" w:cs="宋体"/>
          <w:sz w:val="24"/>
          <w:szCs w:val="24"/>
          <w:lang w:eastAsia="zh-CN"/>
        </w:rPr>
        <w:t>我司</w:t>
      </w:r>
      <w:r>
        <w:rPr>
          <w:rFonts w:hint="eastAsia" w:ascii="宋体" w:hAnsi="宋体" w:eastAsia="宋体" w:cs="宋体"/>
          <w:sz w:val="24"/>
          <w:szCs w:val="24"/>
        </w:rPr>
        <w:t>各级管理人员的合理安排和监督检查，违者处罚款100~300元，情节恶劣的可并处停工，直至除名。</w:t>
      </w:r>
    </w:p>
    <w:p>
      <w:pPr>
        <w:keepNext w:val="0"/>
        <w:keepLines w:val="0"/>
        <w:pageBreakBefore w:val="0"/>
        <w:widowControl w:val="0"/>
        <w:numPr>
          <w:ilvl w:val="0"/>
          <w:numId w:val="0"/>
        </w:numPr>
        <w:tabs>
          <w:tab w:val="left" w:pos="210"/>
          <w:tab w:val="left" w:pos="630"/>
        </w:tabs>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2.14</w:t>
      </w:r>
      <w:r>
        <w:rPr>
          <w:rFonts w:hint="eastAsia" w:ascii="宋体" w:hAnsi="宋体" w:eastAsia="宋体" w:cs="宋体"/>
          <w:sz w:val="24"/>
          <w:szCs w:val="24"/>
          <w:lang w:eastAsia="zh-CN"/>
        </w:rPr>
        <w:t>我司</w:t>
      </w:r>
      <w:r>
        <w:rPr>
          <w:rFonts w:hint="eastAsia" w:ascii="宋体" w:hAnsi="宋体" w:eastAsia="宋体" w:cs="宋体"/>
          <w:sz w:val="24"/>
          <w:szCs w:val="24"/>
        </w:rPr>
        <w:t>各级管理人员应认真履行本岗位工作职责，加强生产工序的监督检查，及时纠正各种不安全行为、整改不安全隐患，对不认真履行职责的各级管理人员可处罚款50~300元，因渎职造成严重后果的还应承担相应的法律责任。</w:t>
      </w:r>
    </w:p>
    <w:p>
      <w:pPr>
        <w:keepNext w:val="0"/>
        <w:keepLines w:val="0"/>
        <w:pageBreakBefore w:val="0"/>
        <w:widowControl w:val="0"/>
        <w:numPr>
          <w:ilvl w:val="0"/>
          <w:numId w:val="0"/>
        </w:numPr>
        <w:tabs>
          <w:tab w:val="left" w:pos="210"/>
          <w:tab w:val="left" w:pos="630"/>
        </w:tabs>
        <w:kinsoku/>
        <w:wordWrap/>
        <w:overflowPunct/>
        <w:topLinePunct w:val="0"/>
        <w:autoSpaceDE/>
        <w:autoSpaceDN/>
        <w:bidi w:val="0"/>
        <w:adjustRightInd/>
        <w:snapToGrid/>
        <w:spacing w:line="288" w:lineRule="auto"/>
        <w:ind w:left="2"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2.15</w:t>
      </w:r>
      <w:r>
        <w:rPr>
          <w:rFonts w:hint="eastAsia" w:ascii="宋体" w:hAnsi="宋体" w:eastAsia="宋体" w:cs="宋体"/>
          <w:sz w:val="24"/>
          <w:szCs w:val="24"/>
        </w:rPr>
        <w:t>门卫值守期间脱岗、私自换岗</w:t>
      </w:r>
      <w:r>
        <w:rPr>
          <w:rFonts w:hint="eastAsia" w:ascii="宋体" w:hAnsi="宋体" w:eastAsia="宋体" w:cs="宋体"/>
          <w:sz w:val="24"/>
          <w:szCs w:val="24"/>
          <w:lang w:val="en-US" w:eastAsia="zh-CN"/>
        </w:rPr>
        <w:t>/</w:t>
      </w:r>
      <w:r>
        <w:rPr>
          <w:rFonts w:hint="eastAsia" w:ascii="宋体" w:hAnsi="宋体" w:eastAsia="宋体" w:cs="宋体"/>
          <w:sz w:val="24"/>
          <w:szCs w:val="24"/>
        </w:rPr>
        <w:t>顶岗等，各级管理人员或上级领导来厂检查一经发现，每次处罚款50~100元。一月内发现3次脱岗免当月补贴（300元），全年发现5次脱岗，免全年补贴，并开出厂且不得享受正常门卫值守人员离职待遇。</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91ADC"/>
    <w:rsid w:val="31F9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Times New Roman" w:hAnsi="Times New Roman"/>
      <w:szCs w:val="24"/>
    </w:rPr>
  </w:style>
  <w:style w:type="paragraph" w:styleId="3">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2023-04-13T09:07:00Z</dcterms:created>
  <dc:creator>Administrator</dc:creator>
  <cp:lastModifiedBy>Administrator</cp:lastModifiedBy>
  <dcterms:modified xsi:type="dcterms:W3CDTF">2023-04-13T09:08:15Z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