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13294"/>
      <w:bookmarkStart w:id="1" w:name="_Toc24069"/>
      <w:bookmarkStart w:id="2" w:name="_Toc29290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生产安全事故报告和调查处理制度</w:t>
      </w:r>
      <w:bookmarkEnd w:id="0"/>
      <w:bookmarkEnd w:id="1"/>
      <w:bookmarkEnd w:id="2"/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95"/>
        <w:gridCol w:w="1329"/>
        <w:gridCol w:w="3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9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四川省西充县金源花炮有限责任</w:t>
            </w:r>
            <w:r>
              <w:rPr>
                <w:rFonts w:hint="eastAsia" w:ascii="宋体" w:hAnsi="宋体"/>
                <w:sz w:val="24"/>
                <w:szCs w:val="24"/>
              </w:rPr>
              <w:t>公司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规章制度</w:t>
            </w:r>
          </w:p>
        </w:tc>
        <w:tc>
          <w:tcPr>
            <w:tcW w:w="466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文件编号：GLZD-202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2-01-32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459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第1页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4595" w:type="dxa"/>
            <w:gridSpan w:val="2"/>
            <w:noWrap w:val="0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生产安全事故报告和调查处理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466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修订时间</w:t>
            </w:r>
          </w:p>
        </w:tc>
        <w:tc>
          <w:tcPr>
            <w:tcW w:w="33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颁布日期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编制人员</w:t>
            </w:r>
          </w:p>
        </w:tc>
        <w:tc>
          <w:tcPr>
            <w:tcW w:w="33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陈志勇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审批人员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spacing w:line="240" w:lineRule="exact"/>
              <w:ind w:firstLine="240" w:firstLineChars="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范满全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无伤害事故和一般轻微伤害事故（应在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指定的地点就医）发生后，事故现场有关人员或受伤人员应当立即向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领导或安全管理人员报告。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当发生重伤及以上事故时，事故现场有关人员应当立即向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领导报告。</w:t>
      </w:r>
      <w:bookmarkStart w:id="7" w:name="_GoBack"/>
      <w:bookmarkEnd w:id="7"/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领导接到报告后，应当在1小时内向区安监局报告。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发生较大事故时，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领导或现场负责人应当立即启动相应事故应急预案，或者采取有效措施，组织抢救，防止事故扩大，减少人员伤亡和财产损失。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事故中若有人员受伤时，应首先对受伤人员进行救护，并保护好事故现场，以备调查取证。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事故调查处理应严格按照“四不放过”，实事求是、尊重科学的原则。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事故责任者按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有关规章制度处理，触犯有关法律法规的由上级行政机关处理。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事故责任者和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</w:t>
      </w:r>
      <w:r>
        <w:rPr>
          <w:rFonts w:hint="eastAsia" w:ascii="宋体" w:hAnsi="宋体" w:eastAsia="宋体" w:cs="宋体"/>
          <w:sz w:val="24"/>
          <w:szCs w:val="24"/>
        </w:rPr>
        <w:t>全体员工应认真汲取事故教训，落实防范措施，防止事故再次发生。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3" w:name="_Toc9735"/>
      <w:bookmarkStart w:id="4" w:name="_Toc8085"/>
      <w:bookmarkStart w:id="5" w:name="_Toc17794"/>
      <w:bookmarkStart w:id="6" w:name="_Toc1712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安全科</w:t>
      </w:r>
      <w:r>
        <w:rPr>
          <w:rFonts w:hint="eastAsia" w:ascii="宋体" w:hAnsi="宋体" w:eastAsia="宋体" w:cs="宋体"/>
          <w:sz w:val="24"/>
          <w:szCs w:val="24"/>
        </w:rPr>
        <w:t>应将事故原因分析及处理结果建档保存。</w:t>
      </w:r>
      <w:bookmarkEnd w:id="3"/>
      <w:bookmarkEnd w:id="4"/>
      <w:bookmarkEnd w:id="5"/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45BB"/>
    <w:rsid w:val="0748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2023-04-13T09:05:00Z</dcterms:created>
  <dc:creator>Administrator</dc:creator>
  <cp:lastModifiedBy>Administrator</cp:lastModifiedBy>
  <dcterms:modified xsi:type="dcterms:W3CDTF">2023-04-13T09:05:32Z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