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1890" w:leftChars="0" w:right="0" w:rightChars="0"/>
        <w:jc w:val="both"/>
        <w:textAlignment w:val="auto"/>
        <w:outlineLvl w:val="1"/>
        <w:rPr>
          <w:rFonts w:hint="eastAsia" w:ascii="宋体" w:hAnsi="宋体" w:eastAsia="宋体" w:cs="宋体"/>
          <w:b/>
          <w:bCs/>
          <w:sz w:val="30"/>
          <w:szCs w:val="30"/>
          <w:highlight w:val="none"/>
        </w:rPr>
      </w:pPr>
      <w:bookmarkStart w:id="0" w:name="_Toc22595"/>
      <w:bookmarkStart w:id="1" w:name="_Toc23816"/>
      <w:r>
        <w:rPr>
          <w:rFonts w:hint="eastAsia" w:ascii="宋体" w:hAnsi="宋体" w:eastAsia="宋体" w:cs="宋体"/>
          <w:b/>
          <w:bCs/>
          <w:sz w:val="30"/>
          <w:szCs w:val="30"/>
          <w:highlight w:val="none"/>
        </w:rPr>
        <w:t>重大危险源</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重点危险部位</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安全管理制度</w:t>
      </w:r>
      <w:bookmarkEnd w:id="0"/>
      <w:bookmarkEnd w:id="1"/>
    </w:p>
    <w:tbl>
      <w:tblPr>
        <w:tblStyle w:val="4"/>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388"/>
        <w:gridCol w:w="1326"/>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85" w:type="dxa"/>
            <w:gridSpan w:val="2"/>
            <w:vMerge w:val="restart"/>
            <w:noWrap w:val="0"/>
            <w:vAlign w:val="center"/>
          </w:tcPr>
          <w:p>
            <w:pPr>
              <w:spacing w:line="240" w:lineRule="exact"/>
              <w:jc w:val="center"/>
              <w:rPr>
                <w:rFonts w:ascii="宋体" w:hAnsi="宋体"/>
                <w:bCs/>
                <w:sz w:val="24"/>
                <w:szCs w:val="24"/>
              </w:rPr>
            </w:pPr>
            <w:r>
              <w:rPr>
                <w:rFonts w:hint="eastAsia" w:ascii="宋体" w:hAnsi="宋体"/>
                <w:sz w:val="24"/>
                <w:szCs w:val="24"/>
                <w:lang w:eastAsia="zh-CN"/>
              </w:rPr>
              <w:t>四川省西充县金源花炮有限责任</w:t>
            </w:r>
            <w:r>
              <w:rPr>
                <w:rFonts w:hint="eastAsia" w:ascii="宋体" w:hAnsi="宋体"/>
                <w:sz w:val="24"/>
                <w:szCs w:val="24"/>
              </w:rPr>
              <w:t>公司</w:t>
            </w:r>
          </w:p>
          <w:p>
            <w:pPr>
              <w:spacing w:line="240" w:lineRule="exact"/>
              <w:jc w:val="center"/>
              <w:rPr>
                <w:rFonts w:hint="eastAsia" w:ascii="宋体" w:hAnsi="宋体" w:eastAsia="宋体"/>
                <w:bCs/>
                <w:sz w:val="24"/>
                <w:szCs w:val="24"/>
                <w:lang w:eastAsia="zh-CN"/>
              </w:rPr>
            </w:pPr>
            <w:r>
              <w:rPr>
                <w:rFonts w:hint="eastAsia" w:ascii="宋体" w:hAnsi="宋体"/>
                <w:sz w:val="24"/>
                <w:szCs w:val="24"/>
              </w:rPr>
              <w:t>安全生产</w:t>
            </w:r>
            <w:r>
              <w:rPr>
                <w:rFonts w:hint="eastAsia" w:ascii="宋体" w:hAnsi="宋体"/>
                <w:sz w:val="24"/>
                <w:szCs w:val="24"/>
                <w:lang w:eastAsia="zh-CN"/>
              </w:rPr>
              <w:t>规章制度</w:t>
            </w:r>
          </w:p>
        </w:tc>
        <w:tc>
          <w:tcPr>
            <w:tcW w:w="4654" w:type="dxa"/>
            <w:gridSpan w:val="2"/>
            <w:noWrap w:val="0"/>
            <w:vAlign w:val="center"/>
          </w:tcPr>
          <w:p>
            <w:pPr>
              <w:spacing w:line="240" w:lineRule="exact"/>
              <w:rPr>
                <w:rFonts w:hint="default" w:ascii="宋体" w:hAnsi="宋体" w:eastAsia="宋体"/>
                <w:bCs/>
                <w:sz w:val="24"/>
                <w:szCs w:val="24"/>
                <w:lang w:val="en-US" w:eastAsia="zh-CN"/>
              </w:rPr>
            </w:pPr>
            <w:r>
              <w:rPr>
                <w:rFonts w:hint="eastAsia" w:ascii="宋体" w:hAnsi="宋体"/>
                <w:bCs/>
                <w:sz w:val="24"/>
                <w:szCs w:val="24"/>
              </w:rPr>
              <w:t>文件编号：GLZD</w:t>
            </w:r>
            <w:r>
              <w:rPr>
                <w:rFonts w:hint="eastAsia" w:ascii="宋体" w:hAnsi="宋体"/>
                <w:bCs/>
                <w:sz w:val="24"/>
                <w:szCs w:val="24"/>
                <w:lang w:val="en-US" w:eastAsia="zh-CN"/>
              </w:rPr>
              <w:t>-</w:t>
            </w:r>
            <w:r>
              <w:rPr>
                <w:rFonts w:hint="eastAsia" w:ascii="宋体" w:hAnsi="宋体"/>
                <w:bCs/>
                <w:sz w:val="24"/>
                <w:szCs w:val="24"/>
              </w:rPr>
              <w:t>202</w:t>
            </w:r>
            <w:r>
              <w:rPr>
                <w:rFonts w:hint="eastAsia" w:ascii="宋体" w:hAnsi="宋体"/>
                <w:bCs/>
                <w:sz w:val="24"/>
                <w:szCs w:val="24"/>
                <w:lang w:val="en-US" w:eastAsia="zh-CN"/>
              </w:rPr>
              <w:t>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585" w:type="dxa"/>
            <w:gridSpan w:val="2"/>
            <w:vMerge w:val="continue"/>
            <w:noWrap w:val="0"/>
            <w:vAlign w:val="center"/>
          </w:tcPr>
          <w:p>
            <w:pPr>
              <w:spacing w:line="240" w:lineRule="exact"/>
              <w:jc w:val="center"/>
              <w:rPr>
                <w:rFonts w:hint="eastAsia" w:ascii="宋体" w:hAnsi="宋体"/>
                <w:bCs/>
                <w:sz w:val="24"/>
                <w:szCs w:val="24"/>
              </w:rPr>
            </w:pPr>
          </w:p>
        </w:tc>
        <w:tc>
          <w:tcPr>
            <w:tcW w:w="465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585" w:type="dxa"/>
            <w:gridSpan w:val="2"/>
            <w:noWrap w:val="0"/>
            <w:vAlign w:val="center"/>
          </w:tcPr>
          <w:p>
            <w:pPr>
              <w:pStyle w:val="3"/>
              <w:spacing w:line="240" w:lineRule="exact"/>
              <w:jc w:val="center"/>
              <w:rPr>
                <w:rFonts w:hint="eastAsia" w:hAnsi="宋体" w:eastAsia="宋体"/>
                <w:bCs/>
                <w:sz w:val="24"/>
                <w:szCs w:val="24"/>
                <w:lang w:eastAsia="zh-CN"/>
              </w:rPr>
            </w:pPr>
            <w:r>
              <w:rPr>
                <w:rFonts w:hint="eastAsia" w:hAnsi="宋体" w:eastAsia="宋体" w:cs="宋体"/>
                <w:b w:val="0"/>
                <w:bCs w:val="0"/>
                <w:sz w:val="24"/>
                <w:szCs w:val="24"/>
                <w:highlight w:val="none"/>
                <w:lang w:eastAsia="zh-CN"/>
              </w:rPr>
              <w:t>重大危险源（重点危险部位）管理</w:t>
            </w:r>
            <w:r>
              <w:rPr>
                <w:rFonts w:hint="eastAsia" w:ascii="宋体" w:hAnsi="宋体" w:eastAsia="宋体" w:cs="宋体"/>
                <w:b w:val="0"/>
                <w:bCs w:val="0"/>
                <w:sz w:val="24"/>
                <w:szCs w:val="24"/>
                <w:highlight w:val="none"/>
              </w:rPr>
              <w:t>制度</w:t>
            </w:r>
          </w:p>
        </w:tc>
        <w:tc>
          <w:tcPr>
            <w:tcW w:w="465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197" w:type="dxa"/>
            <w:noWrap w:val="0"/>
            <w:vAlign w:val="center"/>
          </w:tcPr>
          <w:p>
            <w:pPr>
              <w:spacing w:line="240" w:lineRule="exact"/>
              <w:rPr>
                <w:rFonts w:hint="eastAsia" w:ascii="宋体" w:hAnsi="宋体"/>
                <w:bCs/>
                <w:sz w:val="24"/>
                <w:szCs w:val="24"/>
              </w:rPr>
            </w:pPr>
            <w:r>
              <w:rPr>
                <w:rFonts w:hint="eastAsia" w:ascii="宋体" w:hAnsi="宋体"/>
                <w:bCs/>
                <w:sz w:val="24"/>
                <w:szCs w:val="24"/>
              </w:rPr>
              <w:t>修订时间</w:t>
            </w:r>
          </w:p>
        </w:tc>
        <w:tc>
          <w:tcPr>
            <w:tcW w:w="3388" w:type="dxa"/>
            <w:noWrap w:val="0"/>
            <w:vAlign w:val="center"/>
          </w:tcPr>
          <w:p>
            <w:pPr>
              <w:spacing w:line="240" w:lineRule="exact"/>
              <w:jc w:val="center"/>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28</w:t>
            </w:r>
          </w:p>
        </w:tc>
        <w:tc>
          <w:tcPr>
            <w:tcW w:w="1326"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颁布日期</w:t>
            </w:r>
          </w:p>
        </w:tc>
        <w:tc>
          <w:tcPr>
            <w:tcW w:w="3328" w:type="dxa"/>
            <w:noWrap w:val="0"/>
            <w:vAlign w:val="center"/>
          </w:tcPr>
          <w:p>
            <w:pPr>
              <w:spacing w:line="240" w:lineRule="exact"/>
              <w:rPr>
                <w:rFonts w:hint="default" w:ascii="宋体" w:hAnsi="宋体" w:eastAsia="宋体"/>
                <w:bCs/>
                <w:sz w:val="24"/>
                <w:szCs w:val="24"/>
                <w:lang w:val="en-US" w:eastAsia="zh-CN"/>
              </w:rPr>
            </w:pPr>
            <w:r>
              <w:rPr>
                <w:rFonts w:hint="eastAsia" w:ascii="宋体" w:hAnsi="宋体" w:cs="宋体"/>
                <w:bCs/>
                <w:sz w:val="24"/>
                <w:szCs w:val="24"/>
              </w:rPr>
              <w:t>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197"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编制人员</w:t>
            </w:r>
          </w:p>
        </w:tc>
        <w:tc>
          <w:tcPr>
            <w:tcW w:w="3388" w:type="dxa"/>
            <w:noWrap w:val="0"/>
            <w:vAlign w:val="center"/>
          </w:tcPr>
          <w:p>
            <w:pPr>
              <w:spacing w:line="240" w:lineRule="exact"/>
              <w:jc w:val="center"/>
              <w:rPr>
                <w:rFonts w:hint="eastAsia" w:ascii="宋体" w:hAnsi="宋体" w:eastAsia="宋体"/>
                <w:bCs/>
                <w:sz w:val="24"/>
                <w:szCs w:val="24"/>
                <w:lang w:eastAsia="zh-CN"/>
              </w:rPr>
            </w:pPr>
            <w:r>
              <w:rPr>
                <w:rFonts w:hint="eastAsia" w:ascii="宋体" w:hAnsi="宋体"/>
                <w:bCs/>
                <w:sz w:val="24"/>
                <w:szCs w:val="24"/>
                <w:lang w:eastAsia="zh-CN"/>
              </w:rPr>
              <w:t>陈志勇</w:t>
            </w:r>
          </w:p>
        </w:tc>
        <w:tc>
          <w:tcPr>
            <w:tcW w:w="1326" w:type="dxa"/>
            <w:noWrap w:val="0"/>
            <w:vAlign w:val="center"/>
          </w:tcPr>
          <w:p>
            <w:pPr>
              <w:spacing w:line="240" w:lineRule="exact"/>
              <w:rPr>
                <w:rFonts w:hint="eastAsia" w:ascii="宋体" w:hAnsi="宋体" w:cs="宋体"/>
                <w:bCs/>
                <w:sz w:val="24"/>
                <w:szCs w:val="24"/>
              </w:rPr>
            </w:pPr>
            <w:r>
              <w:rPr>
                <w:rFonts w:hint="eastAsia" w:ascii="宋体" w:hAnsi="宋体" w:cs="宋体"/>
                <w:bCs/>
                <w:sz w:val="24"/>
                <w:szCs w:val="24"/>
              </w:rPr>
              <w:t>审批人员</w:t>
            </w:r>
          </w:p>
        </w:tc>
        <w:tc>
          <w:tcPr>
            <w:tcW w:w="3328" w:type="dxa"/>
            <w:noWrap w:val="0"/>
            <w:vAlign w:val="center"/>
          </w:tcPr>
          <w:p>
            <w:pPr>
              <w:spacing w:line="240" w:lineRule="exact"/>
              <w:ind w:firstLine="240" w:firstLineChars="0"/>
              <w:rPr>
                <w:rFonts w:hint="eastAsia" w:ascii="宋体" w:hAnsi="宋体" w:eastAsia="宋体" w:cs="宋体"/>
                <w:bCs/>
                <w:sz w:val="24"/>
                <w:szCs w:val="24"/>
                <w:lang w:eastAsia="zh-CN"/>
              </w:rPr>
            </w:pPr>
            <w:r>
              <w:rPr>
                <w:rFonts w:hint="eastAsia" w:ascii="宋体" w:hAnsi="宋体" w:cs="宋体"/>
                <w:bCs/>
                <w:sz w:val="24"/>
                <w:szCs w:val="24"/>
                <w:lang w:eastAsia="zh-CN"/>
              </w:rPr>
              <w:t>范满全</w:t>
            </w:r>
          </w:p>
        </w:tc>
      </w:tr>
    </w:tbl>
    <w:p>
      <w:pPr>
        <w:pStyle w:val="2"/>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根据《危险化学品重大危险源辨识》GB18218-2018标准，对生产区、库区的存药量进行重大危险源的辨识判定，看是否超过规定的临界量，超过规定临</w:t>
      </w:r>
      <w:bookmarkStart w:id="10" w:name="_GoBack"/>
      <w:bookmarkEnd w:id="10"/>
      <w:r>
        <w:rPr>
          <w:rFonts w:hint="eastAsia" w:ascii="宋体" w:hAnsi="宋体" w:eastAsia="宋体" w:cs="宋体"/>
          <w:sz w:val="24"/>
          <w:szCs w:val="24"/>
        </w:rPr>
        <w:t>界量的部位、场所构成重大危险源。</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明确重大危险源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重点危险部位</w:t>
      </w:r>
      <w:r>
        <w:rPr>
          <w:rFonts w:hint="eastAsia" w:ascii="宋体" w:hAnsi="宋体" w:eastAsia="宋体" w:cs="宋体"/>
          <w:sz w:val="24"/>
          <w:szCs w:val="24"/>
          <w:lang w:eastAsia="zh-CN"/>
        </w:rPr>
        <w:t>）</w:t>
      </w:r>
      <w:r>
        <w:rPr>
          <w:rFonts w:hint="eastAsia" w:ascii="宋体" w:hAnsi="宋体" w:eastAsia="宋体" w:cs="宋体"/>
          <w:sz w:val="24"/>
          <w:szCs w:val="24"/>
        </w:rPr>
        <w:t>的安全管理责任人，制定重大危源应急预案。</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建立重大危险源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重点危险部位</w:t>
      </w:r>
      <w:r>
        <w:rPr>
          <w:rFonts w:hint="eastAsia" w:ascii="宋体" w:hAnsi="宋体" w:eastAsia="宋体" w:cs="宋体"/>
          <w:sz w:val="24"/>
          <w:szCs w:val="24"/>
          <w:lang w:eastAsia="zh-CN"/>
        </w:rPr>
        <w:t>）</w:t>
      </w:r>
      <w:r>
        <w:rPr>
          <w:rFonts w:hint="eastAsia" w:ascii="宋体" w:hAnsi="宋体" w:eastAsia="宋体" w:cs="宋体"/>
          <w:color w:val="000000"/>
          <w:sz w:val="24"/>
          <w:szCs w:val="24"/>
        </w:rPr>
        <w:t>台账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内容包括:危险源名称、危险物质名称、危险源存在的位置、危险货物编号、 易导致的事故类型、主要危害、最大储存量、安全技术管理、应急措施等内容。</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安全科</w:t>
      </w:r>
      <w:r>
        <w:rPr>
          <w:rFonts w:hint="eastAsia" w:ascii="宋体" w:hAnsi="宋体" w:eastAsia="宋体" w:cs="宋体"/>
          <w:color w:val="000000"/>
          <w:sz w:val="24"/>
          <w:szCs w:val="24"/>
        </w:rPr>
        <w:t>每年应至少组织一次危险源辨识，当有新的设施或场所构成重大危险源时应纳入重大危险源管理，并及时上报主管部门。</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加强对重大危险源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重点危险部位</w:t>
      </w:r>
      <w:r>
        <w:rPr>
          <w:rFonts w:hint="eastAsia" w:ascii="宋体" w:hAnsi="宋体" w:eastAsia="宋体" w:cs="宋体"/>
          <w:sz w:val="24"/>
          <w:szCs w:val="24"/>
          <w:lang w:eastAsia="zh-CN"/>
        </w:rPr>
        <w:t>）</w:t>
      </w:r>
      <w:r>
        <w:rPr>
          <w:rFonts w:hint="eastAsia" w:ascii="宋体" w:hAnsi="宋体" w:eastAsia="宋体" w:cs="宋体"/>
          <w:sz w:val="24"/>
          <w:szCs w:val="24"/>
        </w:rPr>
        <w:t>的安全监督检查，严格控制重大危险源的温度、湿度，根据生产实际需要，严格控制其危险物品数量，不断减少其存量，降低其危险性，每日检查不少于1次，并作好检查记录。</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2"/>
        <w:rPr>
          <w:rFonts w:hint="eastAsia" w:ascii="宋体" w:hAnsi="宋体" w:eastAsia="宋体" w:cs="宋体"/>
          <w:sz w:val="24"/>
          <w:szCs w:val="24"/>
        </w:rPr>
      </w:pPr>
      <w:bookmarkStart w:id="2" w:name="_Toc15243"/>
      <w:bookmarkStart w:id="3" w:name="_Toc22349"/>
      <w:bookmarkStart w:id="4" w:name="_Toc17172"/>
      <w:bookmarkStart w:id="5" w:name="_Toc25207"/>
      <w:r>
        <w:rPr>
          <w:rFonts w:hint="eastAsia" w:ascii="宋体" w:hAnsi="宋体" w:eastAsia="宋体" w:cs="宋体"/>
          <w:sz w:val="24"/>
          <w:szCs w:val="24"/>
          <w:lang w:val="en-US" w:eastAsia="zh-CN"/>
        </w:rPr>
        <w:t>6.</w:t>
      </w:r>
      <w:r>
        <w:rPr>
          <w:rFonts w:hint="eastAsia" w:ascii="宋体" w:hAnsi="宋体" w:eastAsia="宋体" w:cs="宋体"/>
          <w:sz w:val="24"/>
          <w:szCs w:val="24"/>
        </w:rPr>
        <w:t>对重大危险源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重点危险部位</w:t>
      </w:r>
      <w:r>
        <w:rPr>
          <w:rFonts w:hint="eastAsia" w:ascii="宋体" w:hAnsi="宋体" w:eastAsia="宋体" w:cs="宋体"/>
          <w:sz w:val="24"/>
          <w:szCs w:val="24"/>
          <w:lang w:eastAsia="zh-CN"/>
        </w:rPr>
        <w:t>）</w:t>
      </w:r>
      <w:r>
        <w:rPr>
          <w:rFonts w:hint="eastAsia" w:ascii="宋体" w:hAnsi="宋体" w:eastAsia="宋体" w:cs="宋体"/>
          <w:sz w:val="24"/>
          <w:szCs w:val="24"/>
        </w:rPr>
        <w:t>设置明显的安全警示标志。</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采用重大危险源快速评价方法或请专业评价机构对所存在的重大危险源进行评价，采取切实有效的对策措施，确保重大危险源处于受控状态。</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outlineLvl w:val="2"/>
        <w:rPr>
          <w:rFonts w:hint="eastAsia" w:ascii="宋体" w:hAnsi="宋体" w:eastAsia="宋体" w:cs="宋体"/>
          <w:sz w:val="24"/>
          <w:szCs w:val="24"/>
        </w:rPr>
      </w:pPr>
      <w:bookmarkStart w:id="6" w:name="_Toc7864"/>
      <w:bookmarkStart w:id="7" w:name="_Toc28199"/>
      <w:bookmarkStart w:id="8" w:name="_Toc1926"/>
      <w:bookmarkStart w:id="9" w:name="_Toc10976"/>
      <w:r>
        <w:rPr>
          <w:rFonts w:hint="eastAsia" w:ascii="宋体" w:hAnsi="宋体" w:eastAsia="宋体" w:cs="宋体"/>
          <w:sz w:val="24"/>
          <w:szCs w:val="24"/>
          <w:lang w:val="en-US" w:eastAsia="zh-CN"/>
        </w:rPr>
        <w:t>8.</w:t>
      </w:r>
      <w:r>
        <w:rPr>
          <w:rFonts w:hint="eastAsia" w:ascii="宋体" w:hAnsi="宋体" w:eastAsia="宋体" w:cs="宋体"/>
          <w:sz w:val="24"/>
          <w:szCs w:val="24"/>
        </w:rPr>
        <w:t>根据评价结果，确定重大危险源等级，并报上级主管部门备案。</w:t>
      </w:r>
      <w:bookmarkEnd w:id="6"/>
      <w:bookmarkEnd w:id="7"/>
      <w:bookmarkEnd w:id="8"/>
      <w:bookmarkEnd w:id="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565F0"/>
    <w:rsid w:val="5055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Times New Roman" w:hAnsi="Times New Roman"/>
      <w:szCs w:val="24"/>
    </w:r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2023-04-13T08:58:00Z</dcterms:created>
  <dc:creator>Administrator</dc:creator>
  <cp:lastModifiedBy>Administrator</cp:lastModifiedBy>
  <dcterms:modified xsi:type="dcterms:W3CDTF">2023-04-13T08:59:04Z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