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266" w:leftChars="-674" w:right="0" w:rightChars="0" w:hanging="1681" w:hangingChars="558"/>
        <w:jc w:val="center"/>
        <w:textAlignment w:val="auto"/>
        <w:outlineLvl w:val="1"/>
        <w:rPr>
          <w:rFonts w:hint="eastAsia" w:ascii="宋体" w:hAnsi="宋体" w:eastAsia="宋体" w:cs="宋体"/>
          <w:b/>
          <w:bCs/>
          <w:sz w:val="30"/>
          <w:szCs w:val="30"/>
          <w:highlight w:val="none"/>
        </w:rPr>
      </w:pPr>
      <w:bookmarkStart w:id="0" w:name="_Toc25183"/>
      <w:bookmarkStart w:id="1" w:name="_Toc8857"/>
      <w:bookmarkStart w:id="2" w:name="_Toc31319"/>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特种作业人员管理制度</w:t>
      </w:r>
      <w:bookmarkEnd w:id="0"/>
      <w:bookmarkEnd w:id="1"/>
      <w:bookmarkEnd w:id="2"/>
    </w:p>
    <w:tbl>
      <w:tblPr>
        <w:tblStyle w:val="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358"/>
        <w:gridCol w:w="1315"/>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45" w:type="dxa"/>
            <w:gridSpan w:val="2"/>
            <w:vMerge w:val="restart"/>
            <w:noWrap w:val="0"/>
            <w:vAlign w:val="center"/>
          </w:tcPr>
          <w:p>
            <w:pPr>
              <w:spacing w:line="240" w:lineRule="exact"/>
              <w:jc w:val="center"/>
              <w:rPr>
                <w:rFonts w:ascii="宋体" w:hAnsi="宋体"/>
                <w:bCs/>
                <w:sz w:val="24"/>
                <w:szCs w:val="24"/>
              </w:rPr>
            </w:pPr>
            <w:r>
              <w:rPr>
                <w:rFonts w:hint="eastAsia" w:ascii="宋体" w:hAnsi="宋体"/>
                <w:sz w:val="24"/>
                <w:szCs w:val="24"/>
                <w:lang w:eastAsia="zh-CN"/>
              </w:rPr>
              <w:t>四川省西充县金源花炮有限责任</w:t>
            </w:r>
            <w:r>
              <w:rPr>
                <w:rFonts w:hint="eastAsia" w:ascii="宋体" w:hAnsi="宋体"/>
                <w:sz w:val="24"/>
                <w:szCs w:val="24"/>
              </w:rPr>
              <w:t>公司</w:t>
            </w:r>
          </w:p>
          <w:p>
            <w:pPr>
              <w:spacing w:line="240" w:lineRule="exact"/>
              <w:jc w:val="center"/>
              <w:rPr>
                <w:rFonts w:hint="eastAsia" w:ascii="宋体" w:hAnsi="宋体" w:eastAsia="宋体"/>
                <w:bCs/>
                <w:sz w:val="24"/>
                <w:szCs w:val="24"/>
                <w:lang w:eastAsia="zh-CN"/>
              </w:rPr>
            </w:pPr>
            <w:r>
              <w:rPr>
                <w:rFonts w:hint="eastAsia" w:ascii="宋体" w:hAnsi="宋体"/>
                <w:sz w:val="24"/>
                <w:szCs w:val="24"/>
              </w:rPr>
              <w:t>安全生产</w:t>
            </w:r>
            <w:r>
              <w:rPr>
                <w:rFonts w:hint="eastAsia" w:ascii="宋体" w:hAnsi="宋体"/>
                <w:sz w:val="24"/>
                <w:szCs w:val="24"/>
                <w:lang w:eastAsia="zh-CN"/>
              </w:rPr>
              <w:t>规章制度</w:t>
            </w:r>
          </w:p>
        </w:tc>
        <w:tc>
          <w:tcPr>
            <w:tcW w:w="4614" w:type="dxa"/>
            <w:gridSpan w:val="2"/>
            <w:noWrap w:val="0"/>
            <w:vAlign w:val="center"/>
          </w:tcPr>
          <w:p>
            <w:pPr>
              <w:spacing w:line="240" w:lineRule="exact"/>
              <w:rPr>
                <w:rFonts w:hint="default" w:ascii="宋体" w:hAnsi="宋体" w:eastAsia="宋体"/>
                <w:bCs/>
                <w:sz w:val="24"/>
                <w:szCs w:val="24"/>
                <w:lang w:val="en-US" w:eastAsia="zh-CN"/>
              </w:rPr>
            </w:pPr>
            <w:r>
              <w:rPr>
                <w:rFonts w:hint="eastAsia" w:ascii="宋体" w:hAnsi="宋体"/>
                <w:bCs/>
                <w:sz w:val="24"/>
                <w:szCs w:val="24"/>
              </w:rPr>
              <w:t>文件编号：GLZD-202</w:t>
            </w:r>
            <w:r>
              <w:rPr>
                <w:rFonts w:hint="eastAsia" w:ascii="宋体" w:hAnsi="宋体"/>
                <w:bCs/>
                <w:sz w:val="24"/>
                <w:szCs w:val="24"/>
                <w:lang w:val="en-US" w:eastAsia="zh-CN"/>
              </w:rPr>
              <w:t>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545" w:type="dxa"/>
            <w:gridSpan w:val="2"/>
            <w:vMerge w:val="continue"/>
            <w:noWrap w:val="0"/>
            <w:vAlign w:val="center"/>
          </w:tcPr>
          <w:p>
            <w:pPr>
              <w:spacing w:line="240" w:lineRule="exact"/>
              <w:jc w:val="center"/>
              <w:rPr>
                <w:rFonts w:hint="eastAsia" w:ascii="宋体" w:hAnsi="宋体"/>
                <w:bCs/>
                <w:sz w:val="24"/>
                <w:szCs w:val="24"/>
              </w:rPr>
            </w:pPr>
          </w:p>
        </w:tc>
        <w:tc>
          <w:tcPr>
            <w:tcW w:w="461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545" w:type="dxa"/>
            <w:gridSpan w:val="2"/>
            <w:noWrap w:val="0"/>
            <w:vAlign w:val="center"/>
          </w:tcPr>
          <w:p>
            <w:pPr>
              <w:pStyle w:val="3"/>
              <w:spacing w:line="240" w:lineRule="exact"/>
              <w:jc w:val="center"/>
              <w:rPr>
                <w:rFonts w:hint="eastAsia" w:hAnsi="宋体" w:eastAsia="宋体"/>
                <w:bCs/>
                <w:sz w:val="24"/>
                <w:szCs w:val="24"/>
                <w:lang w:eastAsia="zh-CN"/>
              </w:rPr>
            </w:pPr>
            <w:r>
              <w:rPr>
                <w:rFonts w:hint="eastAsia" w:hAnsi="宋体" w:eastAsia="宋体" w:cs="宋体"/>
                <w:b w:val="0"/>
                <w:bCs w:val="0"/>
                <w:sz w:val="24"/>
                <w:szCs w:val="24"/>
                <w:highlight w:val="none"/>
                <w:lang w:eastAsia="zh-CN"/>
              </w:rPr>
              <w:t>特种作业人员管理</w:t>
            </w:r>
            <w:r>
              <w:rPr>
                <w:rFonts w:hint="eastAsia" w:ascii="宋体" w:hAnsi="宋体" w:eastAsia="宋体" w:cs="宋体"/>
                <w:b w:val="0"/>
                <w:bCs w:val="0"/>
                <w:sz w:val="24"/>
                <w:szCs w:val="24"/>
                <w:highlight w:val="none"/>
              </w:rPr>
              <w:t>制度</w:t>
            </w:r>
          </w:p>
        </w:tc>
        <w:tc>
          <w:tcPr>
            <w:tcW w:w="461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187" w:type="dxa"/>
            <w:noWrap w:val="0"/>
            <w:vAlign w:val="center"/>
          </w:tcPr>
          <w:p>
            <w:pPr>
              <w:spacing w:line="240" w:lineRule="exact"/>
              <w:rPr>
                <w:rFonts w:hint="eastAsia" w:ascii="宋体" w:hAnsi="宋体"/>
                <w:bCs/>
                <w:sz w:val="24"/>
                <w:szCs w:val="24"/>
              </w:rPr>
            </w:pPr>
            <w:r>
              <w:rPr>
                <w:rFonts w:hint="eastAsia" w:ascii="宋体" w:hAnsi="宋体"/>
                <w:bCs/>
                <w:sz w:val="24"/>
                <w:szCs w:val="24"/>
              </w:rPr>
              <w:t>修订时间</w:t>
            </w:r>
          </w:p>
        </w:tc>
        <w:tc>
          <w:tcPr>
            <w:tcW w:w="3358" w:type="dxa"/>
            <w:noWrap w:val="0"/>
            <w:vAlign w:val="center"/>
          </w:tcPr>
          <w:p>
            <w:pPr>
              <w:spacing w:line="240" w:lineRule="exact"/>
              <w:jc w:val="center"/>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28</w:t>
            </w:r>
          </w:p>
        </w:tc>
        <w:tc>
          <w:tcPr>
            <w:tcW w:w="1315"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颁布日期</w:t>
            </w:r>
          </w:p>
        </w:tc>
        <w:tc>
          <w:tcPr>
            <w:tcW w:w="3299" w:type="dxa"/>
            <w:noWrap w:val="0"/>
            <w:vAlign w:val="center"/>
          </w:tcPr>
          <w:p>
            <w:pPr>
              <w:spacing w:line="240" w:lineRule="exact"/>
              <w:rPr>
                <w:rFonts w:hint="default" w:ascii="宋体" w:hAnsi="宋体" w:eastAsia="宋体"/>
                <w:bCs/>
                <w:sz w:val="24"/>
                <w:szCs w:val="24"/>
                <w:lang w:val="en-US" w:eastAsia="zh-CN"/>
              </w:rPr>
            </w:pPr>
            <w:r>
              <w:rPr>
                <w:rFonts w:hint="eastAsia" w:ascii="宋体" w:hAnsi="宋体" w:cs="宋体"/>
                <w:bCs/>
                <w:sz w:val="24"/>
                <w:szCs w:val="24"/>
              </w:rPr>
              <w:t>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187"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编制人员</w:t>
            </w:r>
          </w:p>
        </w:tc>
        <w:tc>
          <w:tcPr>
            <w:tcW w:w="3358" w:type="dxa"/>
            <w:noWrap w:val="0"/>
            <w:vAlign w:val="center"/>
          </w:tcPr>
          <w:p>
            <w:pPr>
              <w:spacing w:line="240" w:lineRule="exact"/>
              <w:jc w:val="center"/>
              <w:rPr>
                <w:rFonts w:hint="eastAsia" w:ascii="宋体" w:hAnsi="宋体" w:eastAsia="宋体"/>
                <w:bCs/>
                <w:sz w:val="24"/>
                <w:szCs w:val="24"/>
                <w:lang w:eastAsia="zh-CN"/>
              </w:rPr>
            </w:pPr>
            <w:r>
              <w:rPr>
                <w:rFonts w:hint="eastAsia" w:ascii="宋体" w:hAnsi="宋体"/>
                <w:bCs/>
                <w:sz w:val="24"/>
                <w:szCs w:val="24"/>
                <w:lang w:eastAsia="zh-CN"/>
              </w:rPr>
              <w:t>陈志勇</w:t>
            </w:r>
          </w:p>
        </w:tc>
        <w:tc>
          <w:tcPr>
            <w:tcW w:w="1315" w:type="dxa"/>
            <w:noWrap w:val="0"/>
            <w:vAlign w:val="center"/>
          </w:tcPr>
          <w:p>
            <w:pPr>
              <w:spacing w:line="240" w:lineRule="exact"/>
              <w:rPr>
                <w:rFonts w:hint="eastAsia" w:ascii="宋体" w:hAnsi="宋体" w:cs="宋体"/>
                <w:bCs/>
                <w:sz w:val="24"/>
                <w:szCs w:val="24"/>
              </w:rPr>
            </w:pPr>
            <w:r>
              <w:rPr>
                <w:rFonts w:hint="eastAsia" w:ascii="宋体" w:hAnsi="宋体" w:cs="宋体"/>
                <w:bCs/>
                <w:sz w:val="24"/>
                <w:szCs w:val="24"/>
              </w:rPr>
              <w:t>审批人员</w:t>
            </w:r>
          </w:p>
        </w:tc>
        <w:tc>
          <w:tcPr>
            <w:tcW w:w="3299" w:type="dxa"/>
            <w:noWrap w:val="0"/>
            <w:vAlign w:val="center"/>
          </w:tcPr>
          <w:p>
            <w:pPr>
              <w:spacing w:line="240" w:lineRule="exact"/>
              <w:ind w:firstLine="240" w:firstLineChars="0"/>
              <w:rPr>
                <w:rFonts w:hint="eastAsia" w:ascii="宋体" w:hAnsi="宋体" w:eastAsia="宋体" w:cs="宋体"/>
                <w:bCs/>
                <w:sz w:val="24"/>
                <w:szCs w:val="24"/>
                <w:lang w:eastAsia="zh-CN"/>
              </w:rPr>
            </w:pPr>
            <w:r>
              <w:rPr>
                <w:rFonts w:hint="eastAsia" w:ascii="宋体" w:hAnsi="宋体" w:cs="宋体"/>
                <w:bCs/>
                <w:sz w:val="24"/>
                <w:szCs w:val="24"/>
                <w:lang w:eastAsia="zh-CN"/>
              </w:rPr>
              <w:t>范满全</w:t>
            </w:r>
          </w:p>
        </w:tc>
      </w:tr>
    </w:tbl>
    <w:p>
      <w:pPr>
        <w:pStyle w:val="2"/>
        <w:numPr>
          <w:ilvl w:val="0"/>
          <w:numId w:val="0"/>
        </w:numPr>
        <w:ind w:leftChars="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我司</w:t>
      </w:r>
      <w:r>
        <w:rPr>
          <w:rFonts w:hint="eastAsia" w:ascii="宋体" w:hAnsi="宋体" w:eastAsia="宋体" w:cs="宋体"/>
          <w:sz w:val="24"/>
          <w:szCs w:val="24"/>
        </w:rPr>
        <w:t>严格按照《烟花爆竹管理条例》所确定的烟花爆竹特种作业工种配备人员。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从事烟花爆竹特种作业人员的年龄应在18~60周岁，且无相关禁忌症。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烟花爆竹特种作业人员除经</w:t>
      </w:r>
      <w:r>
        <w:rPr>
          <w:rFonts w:hint="eastAsia" w:ascii="宋体" w:hAnsi="宋体" w:eastAsia="宋体" w:cs="宋体"/>
          <w:sz w:val="24"/>
          <w:szCs w:val="24"/>
          <w:lang w:eastAsia="zh-CN"/>
        </w:rPr>
        <w:t>我司</w:t>
      </w:r>
      <w:r>
        <w:rPr>
          <w:rFonts w:hint="eastAsia" w:ascii="宋体" w:hAnsi="宋体" w:eastAsia="宋体" w:cs="宋体"/>
          <w:sz w:val="24"/>
          <w:szCs w:val="24"/>
        </w:rPr>
        <w:t>培训合格外，还必须经有资质的培训机构培训合格，具备相应工种操作能力，并做到持证上岗。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烟花爆竹特种作业人员应了解本作业场所和工作岗位存在的危险有害因素、防范措施及事故应急措施，积极为</w:t>
      </w:r>
      <w:r>
        <w:rPr>
          <w:rFonts w:hint="eastAsia" w:ascii="宋体" w:hAnsi="宋体" w:eastAsia="宋体" w:cs="宋体"/>
          <w:sz w:val="24"/>
          <w:szCs w:val="24"/>
          <w:lang w:eastAsia="zh-CN"/>
        </w:rPr>
        <w:t>我司</w:t>
      </w:r>
      <w:r>
        <w:rPr>
          <w:rFonts w:hint="eastAsia" w:ascii="宋体" w:hAnsi="宋体" w:eastAsia="宋体" w:cs="宋体"/>
          <w:sz w:val="24"/>
          <w:szCs w:val="24"/>
        </w:rPr>
        <w:t>安全生产工作提出合理化建议。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烟花爆竹特种作业人员发现有不安全隐患时，应及时向</w:t>
      </w:r>
      <w:r>
        <w:rPr>
          <w:rFonts w:hint="eastAsia" w:ascii="宋体" w:hAnsi="宋体" w:eastAsia="宋体" w:cs="宋体"/>
          <w:sz w:val="24"/>
          <w:szCs w:val="24"/>
          <w:lang w:eastAsia="zh-CN"/>
        </w:rPr>
        <w:t>我司</w:t>
      </w:r>
      <w:r>
        <w:rPr>
          <w:rFonts w:hint="eastAsia" w:ascii="宋体" w:hAnsi="宋体" w:eastAsia="宋体" w:cs="宋体"/>
          <w:sz w:val="24"/>
          <w:szCs w:val="24"/>
        </w:rPr>
        <w:t>领导或安全管理人员报告，当发现直接危及人身安全的紧急情况时应停止作业迅速撤离作业现场。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烟花爆竹特种作业人员在作业过程中，应当严格遵守</w:t>
      </w:r>
      <w:r>
        <w:rPr>
          <w:rFonts w:hint="eastAsia" w:ascii="宋体" w:hAnsi="宋体" w:eastAsia="宋体" w:cs="宋体"/>
          <w:sz w:val="24"/>
          <w:szCs w:val="24"/>
          <w:lang w:eastAsia="zh-CN"/>
        </w:rPr>
        <w:t>我司</w:t>
      </w:r>
      <w:r>
        <w:rPr>
          <w:rFonts w:hint="eastAsia" w:ascii="宋体" w:hAnsi="宋体" w:eastAsia="宋体" w:cs="宋体"/>
          <w:sz w:val="24"/>
          <w:szCs w:val="24"/>
        </w:rPr>
        <w:t>安全生产管理制度和操作规程，服从管理，正确佩戴和使用劳动保护用品。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 w:right="302" w:rightChars="144" w:firstLine="480" w:firstLineChars="200"/>
        <w:textAlignment w:val="auto"/>
        <w:outlineLvl w:val="2"/>
        <w:rPr>
          <w:rFonts w:hint="eastAsia" w:ascii="宋体" w:hAnsi="宋体" w:eastAsia="宋体" w:cs="宋体"/>
          <w:sz w:val="24"/>
          <w:szCs w:val="24"/>
        </w:rPr>
      </w:pPr>
      <w:bookmarkStart w:id="3" w:name="_Toc28134"/>
      <w:bookmarkStart w:id="4" w:name="_Toc10869"/>
      <w:bookmarkStart w:id="5" w:name="_Toc25504"/>
      <w:bookmarkStart w:id="6" w:name="_Toc3553"/>
      <w:r>
        <w:rPr>
          <w:rFonts w:hint="eastAsia" w:ascii="宋体" w:hAnsi="宋体" w:eastAsia="宋体" w:cs="宋体"/>
          <w:sz w:val="24"/>
          <w:szCs w:val="24"/>
          <w:lang w:val="en-US" w:eastAsia="zh-CN"/>
        </w:rPr>
        <w:t>7.</w:t>
      </w:r>
      <w:r>
        <w:rPr>
          <w:rFonts w:hint="eastAsia" w:ascii="宋体" w:hAnsi="宋体" w:eastAsia="宋体" w:cs="宋体"/>
          <w:sz w:val="24"/>
          <w:szCs w:val="24"/>
        </w:rPr>
        <w:t>禁止未经培训合格和不符合条件的人员从事烟花爆竹特种作业。</w:t>
      </w:r>
      <w:bookmarkEnd w:id="3"/>
      <w:bookmarkEnd w:id="4"/>
      <w:bookmarkEnd w:id="5"/>
      <w:bookmarkEnd w:id="6"/>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102C6"/>
    <w:rsid w:val="4491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Times New Roman" w:hAnsi="Times New Roman"/>
      <w:szCs w:val="24"/>
    </w:r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2023-04-13T08:53:00Z</dcterms:created>
  <dc:creator>Administrator</dc:creator>
  <cp:lastModifiedBy>Administrator</cp:lastModifiedBy>
  <dcterms:modified xsi:type="dcterms:W3CDTF">2023-04-13T08:53:29Z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