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20" w:lineRule="auto"/>
        <w:ind w:left="1890" w:leftChars="0" w:right="0" w:rightChars="0" w:firstLine="602" w:firstLineChars="200"/>
        <w:jc w:val="both"/>
        <w:textAlignment w:val="auto"/>
        <w:outlineLvl w:val="1"/>
        <w:rPr>
          <w:rFonts w:hint="eastAsia" w:ascii="宋体" w:hAnsi="宋体" w:eastAsia="宋体" w:cs="宋体"/>
          <w:b/>
          <w:bCs/>
          <w:sz w:val="30"/>
          <w:szCs w:val="30"/>
          <w:highlight w:val="none"/>
        </w:rPr>
      </w:pPr>
      <w:bookmarkStart w:id="0" w:name="_Toc5167"/>
      <w:bookmarkStart w:id="1" w:name="_Toc32499"/>
      <w:bookmarkStart w:id="2" w:name="_Toc345"/>
      <w:r>
        <w:rPr>
          <w:rFonts w:hint="eastAsia" w:ascii="宋体" w:hAnsi="宋体" w:eastAsia="宋体" w:cs="宋体"/>
          <w:b/>
          <w:bCs/>
          <w:sz w:val="30"/>
          <w:szCs w:val="30"/>
          <w:highlight w:val="none"/>
        </w:rPr>
        <w:t>从业人员安全教育培训制度</w:t>
      </w:r>
      <w:bookmarkEnd w:id="0"/>
      <w:bookmarkEnd w:id="1"/>
      <w:bookmarkEnd w:id="2"/>
    </w:p>
    <w:tbl>
      <w:tblPr>
        <w:tblStyle w:val="4"/>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388"/>
        <w:gridCol w:w="1326"/>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585" w:type="dxa"/>
            <w:gridSpan w:val="2"/>
            <w:vMerge w:val="restart"/>
            <w:noWrap w:val="0"/>
            <w:vAlign w:val="center"/>
          </w:tcPr>
          <w:p>
            <w:pPr>
              <w:spacing w:line="240" w:lineRule="exact"/>
              <w:jc w:val="center"/>
              <w:rPr>
                <w:rFonts w:ascii="宋体" w:hAnsi="宋体"/>
                <w:bCs/>
                <w:sz w:val="24"/>
                <w:szCs w:val="24"/>
              </w:rPr>
            </w:pPr>
            <w:r>
              <w:rPr>
                <w:rFonts w:hint="eastAsia" w:ascii="宋体" w:hAnsi="宋体"/>
                <w:sz w:val="24"/>
                <w:szCs w:val="24"/>
                <w:lang w:eastAsia="zh-CN"/>
              </w:rPr>
              <w:t>四川省西充县金源花炮有限责任</w:t>
            </w:r>
            <w:r>
              <w:rPr>
                <w:rFonts w:hint="eastAsia" w:ascii="宋体" w:hAnsi="宋体"/>
                <w:sz w:val="24"/>
                <w:szCs w:val="24"/>
              </w:rPr>
              <w:t>公司</w:t>
            </w:r>
          </w:p>
          <w:p>
            <w:pPr>
              <w:spacing w:line="240" w:lineRule="exact"/>
              <w:jc w:val="center"/>
              <w:rPr>
                <w:rFonts w:hint="eastAsia" w:ascii="宋体" w:hAnsi="宋体" w:eastAsia="宋体"/>
                <w:bCs/>
                <w:sz w:val="24"/>
                <w:szCs w:val="24"/>
                <w:lang w:eastAsia="zh-CN"/>
              </w:rPr>
            </w:pPr>
            <w:r>
              <w:rPr>
                <w:rFonts w:hint="eastAsia" w:ascii="宋体" w:hAnsi="宋体"/>
                <w:sz w:val="24"/>
                <w:szCs w:val="24"/>
              </w:rPr>
              <w:t>安全生产</w:t>
            </w:r>
            <w:r>
              <w:rPr>
                <w:rFonts w:hint="eastAsia" w:ascii="宋体" w:hAnsi="宋体"/>
                <w:sz w:val="24"/>
                <w:szCs w:val="24"/>
                <w:lang w:eastAsia="zh-CN"/>
              </w:rPr>
              <w:t>规章制度</w:t>
            </w:r>
          </w:p>
        </w:tc>
        <w:tc>
          <w:tcPr>
            <w:tcW w:w="4654" w:type="dxa"/>
            <w:gridSpan w:val="2"/>
            <w:noWrap w:val="0"/>
            <w:vAlign w:val="center"/>
          </w:tcPr>
          <w:p>
            <w:pPr>
              <w:spacing w:line="240" w:lineRule="exact"/>
              <w:rPr>
                <w:rFonts w:hint="default" w:ascii="宋体" w:hAnsi="宋体" w:eastAsia="宋体"/>
                <w:bCs/>
                <w:sz w:val="24"/>
                <w:szCs w:val="24"/>
                <w:lang w:val="en-US" w:eastAsia="zh-CN"/>
              </w:rPr>
            </w:pPr>
            <w:r>
              <w:rPr>
                <w:rFonts w:hint="eastAsia" w:ascii="宋体" w:hAnsi="宋体"/>
                <w:bCs/>
                <w:sz w:val="24"/>
                <w:szCs w:val="24"/>
              </w:rPr>
              <w:t>文件编号：GLZD-202</w:t>
            </w:r>
            <w:r>
              <w:rPr>
                <w:rFonts w:hint="eastAsia" w:ascii="宋体" w:hAnsi="宋体"/>
                <w:bCs/>
                <w:sz w:val="24"/>
                <w:szCs w:val="24"/>
                <w:lang w:val="en-US" w:eastAsia="zh-CN"/>
              </w:rPr>
              <w:t>2-01-07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4585" w:type="dxa"/>
            <w:gridSpan w:val="2"/>
            <w:vMerge w:val="continue"/>
            <w:noWrap w:val="0"/>
            <w:vAlign w:val="center"/>
          </w:tcPr>
          <w:p>
            <w:pPr>
              <w:spacing w:line="240" w:lineRule="exact"/>
              <w:jc w:val="center"/>
              <w:rPr>
                <w:rFonts w:hint="eastAsia" w:ascii="宋体" w:hAnsi="宋体"/>
                <w:bCs/>
                <w:sz w:val="24"/>
                <w:szCs w:val="24"/>
              </w:rPr>
            </w:pPr>
          </w:p>
        </w:tc>
        <w:tc>
          <w:tcPr>
            <w:tcW w:w="4654" w:type="dxa"/>
            <w:gridSpan w:val="2"/>
            <w:noWrap w:val="0"/>
            <w:vAlign w:val="center"/>
          </w:tcPr>
          <w:p>
            <w:pPr>
              <w:spacing w:line="240" w:lineRule="exact"/>
              <w:rPr>
                <w:rFonts w:hint="eastAsia" w:ascii="宋体" w:hAnsi="宋体"/>
                <w:bCs/>
                <w:sz w:val="24"/>
                <w:szCs w:val="24"/>
              </w:rPr>
            </w:pPr>
            <w:r>
              <w:rPr>
                <w:rFonts w:hint="eastAsia" w:ascii="宋体" w:hAnsi="宋体"/>
                <w:bCs/>
                <w:sz w:val="24"/>
                <w:szCs w:val="24"/>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4585" w:type="dxa"/>
            <w:gridSpan w:val="2"/>
            <w:noWrap w:val="0"/>
            <w:vAlign w:val="center"/>
          </w:tcPr>
          <w:p>
            <w:pPr>
              <w:pStyle w:val="3"/>
              <w:spacing w:line="240" w:lineRule="exact"/>
              <w:jc w:val="center"/>
              <w:rPr>
                <w:rFonts w:hint="eastAsia" w:hAnsi="宋体" w:eastAsia="宋体"/>
                <w:bCs/>
                <w:sz w:val="24"/>
                <w:szCs w:val="24"/>
                <w:lang w:eastAsia="zh-CN"/>
              </w:rPr>
            </w:pPr>
            <w:r>
              <w:rPr>
                <w:rFonts w:hint="eastAsia" w:hAnsi="宋体" w:eastAsia="宋体" w:cs="宋体"/>
                <w:b w:val="0"/>
                <w:bCs w:val="0"/>
                <w:sz w:val="24"/>
                <w:szCs w:val="24"/>
                <w:highlight w:val="none"/>
                <w:lang w:eastAsia="zh-CN"/>
              </w:rPr>
              <w:t>从业人员安全教育培训</w:t>
            </w:r>
            <w:r>
              <w:rPr>
                <w:rFonts w:hint="eastAsia" w:ascii="宋体" w:hAnsi="宋体" w:eastAsia="宋体" w:cs="宋体"/>
                <w:b w:val="0"/>
                <w:bCs w:val="0"/>
                <w:sz w:val="24"/>
                <w:szCs w:val="24"/>
                <w:highlight w:val="none"/>
              </w:rPr>
              <w:t>制度</w:t>
            </w:r>
          </w:p>
        </w:tc>
        <w:tc>
          <w:tcPr>
            <w:tcW w:w="4654" w:type="dxa"/>
            <w:gridSpan w:val="2"/>
            <w:noWrap w:val="0"/>
            <w:vAlign w:val="center"/>
          </w:tcPr>
          <w:p>
            <w:pPr>
              <w:spacing w:line="240" w:lineRule="exact"/>
              <w:rPr>
                <w:rFonts w:hint="eastAsia" w:ascii="宋体" w:hAnsi="宋体"/>
                <w:bCs/>
                <w:sz w:val="24"/>
                <w:szCs w:val="24"/>
              </w:rPr>
            </w:pPr>
            <w:r>
              <w:rPr>
                <w:rFonts w:hint="eastAsia" w:ascii="宋体" w:hAnsi="宋体"/>
                <w:bCs/>
                <w:sz w:val="24"/>
                <w:szCs w:val="24"/>
              </w:rPr>
              <w:t>202</w:t>
            </w:r>
            <w:r>
              <w:rPr>
                <w:rFonts w:hint="eastAsia" w:ascii="宋体" w:hAnsi="宋体"/>
                <w:bCs/>
                <w:sz w:val="24"/>
                <w:szCs w:val="24"/>
                <w:lang w:val="en-US" w:eastAsia="zh-CN"/>
              </w:rPr>
              <w:t>2</w:t>
            </w:r>
            <w:r>
              <w:rPr>
                <w:rFonts w:hint="eastAsia" w:ascii="宋体" w:hAnsi="宋体"/>
                <w:bCs/>
                <w:sz w:val="24"/>
                <w:szCs w:val="24"/>
              </w:rPr>
              <w:t>版　　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1197" w:type="dxa"/>
            <w:noWrap w:val="0"/>
            <w:vAlign w:val="center"/>
          </w:tcPr>
          <w:p>
            <w:pPr>
              <w:spacing w:line="240" w:lineRule="exact"/>
              <w:rPr>
                <w:rFonts w:hint="eastAsia" w:ascii="宋体" w:hAnsi="宋体"/>
                <w:bCs/>
                <w:sz w:val="24"/>
                <w:szCs w:val="24"/>
              </w:rPr>
            </w:pPr>
            <w:r>
              <w:rPr>
                <w:rFonts w:hint="eastAsia" w:ascii="宋体" w:hAnsi="宋体"/>
                <w:bCs/>
                <w:sz w:val="24"/>
                <w:szCs w:val="24"/>
              </w:rPr>
              <w:t>修订时间</w:t>
            </w:r>
          </w:p>
        </w:tc>
        <w:tc>
          <w:tcPr>
            <w:tcW w:w="3388" w:type="dxa"/>
            <w:noWrap w:val="0"/>
            <w:vAlign w:val="center"/>
          </w:tcPr>
          <w:p>
            <w:pPr>
              <w:spacing w:line="240" w:lineRule="exact"/>
              <w:jc w:val="center"/>
              <w:rPr>
                <w:rFonts w:hint="eastAsia" w:ascii="宋体" w:hAnsi="宋体"/>
                <w:bCs/>
                <w:sz w:val="24"/>
                <w:szCs w:val="24"/>
              </w:rPr>
            </w:pPr>
            <w:r>
              <w:rPr>
                <w:rFonts w:hint="eastAsia" w:ascii="宋体" w:hAnsi="宋体"/>
                <w:bCs/>
                <w:sz w:val="24"/>
                <w:szCs w:val="24"/>
              </w:rPr>
              <w:t>202</w:t>
            </w:r>
            <w:r>
              <w:rPr>
                <w:rFonts w:hint="eastAsia" w:ascii="宋体" w:hAnsi="宋体"/>
                <w:bCs/>
                <w:sz w:val="24"/>
                <w:szCs w:val="24"/>
                <w:lang w:val="en-US" w:eastAsia="zh-CN"/>
              </w:rPr>
              <w:t>2</w:t>
            </w:r>
            <w:r>
              <w:rPr>
                <w:rFonts w:hint="eastAsia" w:ascii="宋体" w:hAnsi="宋体"/>
                <w:bCs/>
                <w:sz w:val="24"/>
                <w:szCs w:val="24"/>
              </w:rPr>
              <w:t>-</w:t>
            </w:r>
            <w:r>
              <w:rPr>
                <w:rFonts w:hint="eastAsia" w:ascii="宋体" w:hAnsi="宋体"/>
                <w:bCs/>
                <w:sz w:val="24"/>
                <w:szCs w:val="24"/>
                <w:lang w:val="en-US" w:eastAsia="zh-CN"/>
              </w:rPr>
              <w:t>7</w:t>
            </w:r>
            <w:r>
              <w:rPr>
                <w:rFonts w:hint="eastAsia" w:ascii="宋体" w:hAnsi="宋体"/>
                <w:bCs/>
                <w:sz w:val="24"/>
                <w:szCs w:val="24"/>
              </w:rPr>
              <w:t>-</w:t>
            </w:r>
            <w:r>
              <w:rPr>
                <w:rFonts w:hint="eastAsia" w:ascii="宋体" w:hAnsi="宋体"/>
                <w:bCs/>
                <w:sz w:val="24"/>
                <w:szCs w:val="24"/>
                <w:lang w:val="en-US" w:eastAsia="zh-CN"/>
              </w:rPr>
              <w:t>28</w:t>
            </w:r>
          </w:p>
        </w:tc>
        <w:tc>
          <w:tcPr>
            <w:tcW w:w="1326" w:type="dxa"/>
            <w:noWrap w:val="0"/>
            <w:vAlign w:val="center"/>
          </w:tcPr>
          <w:p>
            <w:pPr>
              <w:spacing w:line="240" w:lineRule="exact"/>
              <w:rPr>
                <w:rFonts w:hint="eastAsia" w:ascii="宋体" w:hAnsi="宋体"/>
                <w:bCs/>
                <w:sz w:val="24"/>
                <w:szCs w:val="24"/>
              </w:rPr>
            </w:pPr>
            <w:r>
              <w:rPr>
                <w:rFonts w:hint="eastAsia" w:ascii="宋体" w:hAnsi="宋体" w:cs="宋体"/>
                <w:bCs/>
                <w:sz w:val="24"/>
                <w:szCs w:val="24"/>
              </w:rPr>
              <w:t>颁布日期</w:t>
            </w:r>
          </w:p>
        </w:tc>
        <w:tc>
          <w:tcPr>
            <w:tcW w:w="3328" w:type="dxa"/>
            <w:noWrap w:val="0"/>
            <w:vAlign w:val="center"/>
          </w:tcPr>
          <w:p>
            <w:pPr>
              <w:spacing w:line="240" w:lineRule="exact"/>
              <w:rPr>
                <w:rFonts w:hint="default" w:ascii="宋体" w:hAnsi="宋体" w:eastAsia="宋体"/>
                <w:bCs/>
                <w:sz w:val="24"/>
                <w:szCs w:val="24"/>
                <w:lang w:val="en-US" w:eastAsia="zh-CN"/>
              </w:rPr>
            </w:pPr>
            <w:r>
              <w:rPr>
                <w:rFonts w:hint="eastAsia" w:ascii="宋体" w:hAnsi="宋体" w:cs="宋体"/>
                <w:bCs/>
                <w:sz w:val="24"/>
                <w:szCs w:val="24"/>
              </w:rPr>
              <w:t>202</w:t>
            </w:r>
            <w:r>
              <w:rPr>
                <w:rFonts w:hint="eastAsia" w:ascii="宋体" w:hAnsi="宋体" w:cs="宋体"/>
                <w:bCs/>
                <w:sz w:val="24"/>
                <w:szCs w:val="24"/>
                <w:lang w:val="en-US" w:eastAsia="zh-CN"/>
              </w:rPr>
              <w:t>2</w:t>
            </w:r>
            <w:r>
              <w:rPr>
                <w:rFonts w:hint="eastAsia" w:ascii="宋体" w:hAnsi="宋体" w:cs="宋体"/>
                <w:bCs/>
                <w:sz w:val="24"/>
                <w:szCs w:val="24"/>
              </w:rPr>
              <w:t>-</w:t>
            </w:r>
            <w:r>
              <w:rPr>
                <w:rFonts w:hint="eastAsia" w:ascii="宋体" w:hAnsi="宋体" w:cs="宋体"/>
                <w:bCs/>
                <w:sz w:val="24"/>
                <w:szCs w:val="24"/>
                <w:lang w:val="en-US" w:eastAsia="zh-CN"/>
              </w:rPr>
              <w:t>8</w:t>
            </w:r>
            <w:r>
              <w:rPr>
                <w:rFonts w:hint="eastAsia" w:ascii="宋体" w:hAnsi="宋体" w:cs="宋体"/>
                <w:bCs/>
                <w:sz w:val="24"/>
                <w:szCs w:val="24"/>
              </w:rPr>
              <w:t>-</w:t>
            </w:r>
            <w:r>
              <w:rPr>
                <w:rFonts w:hint="eastAsia" w:ascii="宋体" w:hAnsi="宋体" w:cs="宋体"/>
                <w:bCs/>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197" w:type="dxa"/>
            <w:noWrap w:val="0"/>
            <w:vAlign w:val="center"/>
          </w:tcPr>
          <w:p>
            <w:pPr>
              <w:spacing w:line="240" w:lineRule="exact"/>
              <w:rPr>
                <w:rFonts w:hint="eastAsia" w:ascii="宋体" w:hAnsi="宋体"/>
                <w:bCs/>
                <w:sz w:val="24"/>
                <w:szCs w:val="24"/>
              </w:rPr>
            </w:pPr>
            <w:r>
              <w:rPr>
                <w:rFonts w:hint="eastAsia" w:ascii="宋体" w:hAnsi="宋体" w:cs="宋体"/>
                <w:bCs/>
                <w:sz w:val="24"/>
                <w:szCs w:val="24"/>
              </w:rPr>
              <w:t>编制人员</w:t>
            </w:r>
          </w:p>
        </w:tc>
        <w:tc>
          <w:tcPr>
            <w:tcW w:w="3388" w:type="dxa"/>
            <w:noWrap w:val="0"/>
            <w:vAlign w:val="center"/>
          </w:tcPr>
          <w:p>
            <w:pPr>
              <w:spacing w:line="240" w:lineRule="exact"/>
              <w:jc w:val="center"/>
              <w:rPr>
                <w:rFonts w:hint="eastAsia" w:ascii="宋体" w:hAnsi="宋体" w:eastAsia="宋体"/>
                <w:bCs/>
                <w:sz w:val="24"/>
                <w:szCs w:val="24"/>
                <w:lang w:eastAsia="zh-CN"/>
              </w:rPr>
            </w:pPr>
            <w:r>
              <w:rPr>
                <w:rFonts w:hint="eastAsia" w:ascii="宋体" w:hAnsi="宋体"/>
                <w:bCs/>
                <w:sz w:val="24"/>
                <w:szCs w:val="24"/>
                <w:lang w:eastAsia="zh-CN"/>
              </w:rPr>
              <w:t>陈志勇</w:t>
            </w:r>
          </w:p>
        </w:tc>
        <w:tc>
          <w:tcPr>
            <w:tcW w:w="1326" w:type="dxa"/>
            <w:noWrap w:val="0"/>
            <w:vAlign w:val="center"/>
          </w:tcPr>
          <w:p>
            <w:pPr>
              <w:spacing w:line="240" w:lineRule="exact"/>
              <w:rPr>
                <w:rFonts w:hint="eastAsia" w:ascii="宋体" w:hAnsi="宋体" w:cs="宋体"/>
                <w:bCs/>
                <w:sz w:val="24"/>
                <w:szCs w:val="24"/>
              </w:rPr>
            </w:pPr>
            <w:r>
              <w:rPr>
                <w:rFonts w:hint="eastAsia" w:ascii="宋体" w:hAnsi="宋体" w:cs="宋体"/>
                <w:bCs/>
                <w:sz w:val="24"/>
                <w:szCs w:val="24"/>
              </w:rPr>
              <w:t>审批人员</w:t>
            </w:r>
          </w:p>
        </w:tc>
        <w:tc>
          <w:tcPr>
            <w:tcW w:w="3328" w:type="dxa"/>
            <w:noWrap w:val="0"/>
            <w:vAlign w:val="center"/>
          </w:tcPr>
          <w:p>
            <w:pPr>
              <w:spacing w:line="240" w:lineRule="exact"/>
              <w:ind w:firstLine="240" w:firstLineChars="0"/>
              <w:rPr>
                <w:rFonts w:hint="eastAsia" w:ascii="宋体" w:hAnsi="宋体" w:eastAsia="宋体" w:cs="宋体"/>
                <w:bCs/>
                <w:sz w:val="24"/>
                <w:szCs w:val="24"/>
                <w:lang w:eastAsia="zh-CN"/>
              </w:rPr>
            </w:pPr>
            <w:r>
              <w:rPr>
                <w:rFonts w:hint="eastAsia" w:ascii="宋体" w:hAnsi="宋体" w:cs="宋体"/>
                <w:bCs/>
                <w:sz w:val="24"/>
                <w:szCs w:val="24"/>
                <w:lang w:eastAsia="zh-CN"/>
              </w:rPr>
              <w:t>范满全</w:t>
            </w:r>
          </w:p>
        </w:tc>
      </w:tr>
    </w:tbl>
    <w:p>
      <w:pPr>
        <w:pStyle w:val="2"/>
        <w:rPr>
          <w:rFonts w:hint="eastAsia"/>
        </w:rPr>
      </w:pP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新进厂员工必须经“三级”安全教育培训，并经考核合格后，方可上岗作业。</w:t>
      </w: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val="0"/>
        <w:spacing w:line="360" w:lineRule="auto"/>
        <w:ind w:left="221"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厂级安全教育培训内容：</w:t>
      </w:r>
      <w:r>
        <w:rPr>
          <w:rFonts w:hint="eastAsia" w:ascii="宋体" w:hAnsi="宋体" w:eastAsia="宋体" w:cs="宋体"/>
          <w:sz w:val="24"/>
          <w:szCs w:val="24"/>
          <w:lang w:val="en-US" w:eastAsia="zh-CN"/>
        </w:rPr>
        <w:t>企业</w:t>
      </w:r>
      <w:r>
        <w:rPr>
          <w:rFonts w:hint="eastAsia" w:ascii="宋体" w:hAnsi="宋体" w:eastAsia="宋体" w:cs="宋体"/>
          <w:sz w:val="24"/>
          <w:szCs w:val="24"/>
        </w:rPr>
        <w:t>基本情况、《安全生产法》、各项安全生产管理制度及操作规程、《烟花爆竹安全与质量》GB10631、《烟花爆竹工程设计安全规范》GB50161、《烟花爆竹作业安全技术规程》GB11652、从业人员的安全生产权利和义务、职业安全健康、环境保护、消防、应急救援安全知识、烟花爆竹典型事故案例等。</w:t>
      </w: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val="0"/>
        <w:spacing w:line="360" w:lineRule="auto"/>
        <w:ind w:left="221"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车间级岗前安全教育培训内容：工作环境及危险因素；所从事工种可能遭受的职业危害和伤亡事故；所从事工种的安全职责、操作技能；现场紧急情况处理；安全设备设施、个人防护用品的使用和维护；车间的安全生产状况及管理要求；预防事故和职业危害的措施及注意的安全事项。</w:t>
      </w: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val="0"/>
        <w:spacing w:line="360" w:lineRule="auto"/>
        <w:ind w:left="221"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班组级岗前安全教育培训内容：岗位安全操作规程；岗位之间工作衔接配合的安全与职业卫生事项及有关事故案例。</w:t>
      </w: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val="0"/>
        <w:spacing w:line="360" w:lineRule="auto"/>
        <w:ind w:left="221"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安全教育培训时间，新上岗人员不得少于72学时，每年接受再培训时间不得少于20学时。</w:t>
      </w: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val="0"/>
        <w:spacing w:line="360" w:lineRule="auto"/>
        <w:ind w:left="221"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凡经</w:t>
      </w:r>
      <w:r>
        <w:rPr>
          <w:rFonts w:hint="eastAsia" w:ascii="宋体" w:hAnsi="宋体" w:eastAsia="宋体" w:cs="宋体"/>
          <w:sz w:val="24"/>
          <w:szCs w:val="24"/>
          <w:lang w:eastAsia="zh-CN"/>
        </w:rPr>
        <w:t>我司</w:t>
      </w:r>
      <w:r>
        <w:rPr>
          <w:rFonts w:hint="eastAsia" w:ascii="宋体" w:hAnsi="宋体" w:eastAsia="宋体" w:cs="宋体"/>
          <w:sz w:val="24"/>
          <w:szCs w:val="24"/>
        </w:rPr>
        <w:t>调整工作岗位（转岗）或离岗一年以上的员工重新上岗时，应当重新进行车间和班组级安全教育培训。</w:t>
      </w: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val="0"/>
        <w:spacing w:line="360" w:lineRule="auto"/>
        <w:ind w:left="221"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厂主要负责人、安全管理人员、烟花爆竹特种作业人员必需经上级主管部门培训考核合格，取得相应证书，做到持证上岗。</w:t>
      </w: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val="0"/>
        <w:spacing w:line="360" w:lineRule="auto"/>
        <w:ind w:left="221"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我司</w:t>
      </w:r>
      <w:r>
        <w:rPr>
          <w:rFonts w:hint="eastAsia" w:ascii="宋体" w:hAnsi="宋体" w:eastAsia="宋体" w:cs="宋体"/>
          <w:sz w:val="24"/>
          <w:szCs w:val="24"/>
        </w:rPr>
        <w:t>对从事新技术、新工艺、新材料或者使用新设备的从业人员应进行专门的安全生产教育和培训，使其了解、掌握其安全技术特性和操作方法。</w:t>
      </w:r>
    </w:p>
    <w:p>
      <w:pPr>
        <w:keepNext w:val="0"/>
        <w:keepLines w:val="0"/>
        <w:pageBreakBefore w:val="0"/>
        <w:widowControl w:val="0"/>
        <w:numPr>
          <w:ilvl w:val="0"/>
          <w:numId w:val="0"/>
        </w:numPr>
        <w:tabs>
          <w:tab w:val="left" w:pos="420"/>
          <w:tab w:val="left" w:pos="640"/>
        </w:tabs>
        <w:kinsoku/>
        <w:wordWrap/>
        <w:overflowPunct/>
        <w:topLinePunct w:val="0"/>
        <w:autoSpaceDE/>
        <w:autoSpaceDN/>
        <w:bidi w:val="0"/>
        <w:adjustRightInd w:val="0"/>
        <w:snapToGrid w:val="0"/>
        <w:spacing w:line="360" w:lineRule="auto"/>
        <w:ind w:left="221" w:leftChars="0" w:firstLine="480" w:firstLineChars="200"/>
        <w:textAlignment w:val="auto"/>
        <w:outlineLvl w:val="2"/>
        <w:rPr>
          <w:rFonts w:hint="eastAsia" w:ascii="宋体" w:hAnsi="宋体" w:eastAsia="宋体" w:cs="宋体"/>
          <w:sz w:val="24"/>
          <w:szCs w:val="24"/>
        </w:rPr>
      </w:pPr>
      <w:bookmarkStart w:id="3" w:name="_Toc13007"/>
      <w:bookmarkStart w:id="4" w:name="_Toc21381"/>
      <w:bookmarkStart w:id="5" w:name="_Toc1696"/>
      <w:bookmarkStart w:id="6" w:name="_Toc27062"/>
      <w:r>
        <w:rPr>
          <w:rFonts w:hint="eastAsia" w:ascii="宋体" w:hAnsi="宋体" w:eastAsia="宋体" w:cs="宋体"/>
          <w:sz w:val="24"/>
          <w:szCs w:val="24"/>
          <w:lang w:val="en-US" w:eastAsia="zh-CN"/>
        </w:rPr>
        <w:t>9.</w:t>
      </w:r>
      <w:r>
        <w:rPr>
          <w:rFonts w:hint="eastAsia" w:ascii="宋体" w:hAnsi="宋体" w:eastAsia="宋体" w:cs="宋体"/>
          <w:sz w:val="24"/>
          <w:szCs w:val="24"/>
        </w:rPr>
        <w:t>凡未经培训考核合格的人员一律不得上岗作业。</w:t>
      </w:r>
      <w:bookmarkEnd w:id="3"/>
      <w:bookmarkEnd w:id="4"/>
      <w:bookmarkEnd w:id="5"/>
      <w:bookmarkEnd w:id="6"/>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84A8E"/>
    <w:rsid w:val="67E8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Times New Roman" w:hAnsi="Times New Roman"/>
      <w:szCs w:val="24"/>
    </w:rPr>
  </w:style>
  <w:style w:type="paragraph" w:styleId="3">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2023-04-13T08:47:00Z</dcterms:created>
  <dc:creator>Administrator</dc:creator>
  <cp:lastModifiedBy>Administrator</cp:lastModifiedBy>
  <dcterms:modified xsi:type="dcterms:W3CDTF">2023-04-13T08:48:10Z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