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64" w:tblpY="1173"/>
        <w:tblOverlap w:val="never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4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36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南充联成化学工业有限公司</w:t>
            </w:r>
          </w:p>
        </w:tc>
        <w:tc>
          <w:tcPr>
            <w:tcW w:w="46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ind w:firstLine="2160" w:firstLineChars="9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文件编号：Q/HSLZ-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AH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bookmarkStart w:id="0" w:name="_Toc496"/>
            <w:bookmarkStart w:id="1" w:name="_Toc5080"/>
            <w:bookmarkStart w:id="2" w:name="_Toc16114"/>
            <w:bookmarkStart w:id="3" w:name="_Toc28641"/>
            <w:bookmarkStart w:id="4" w:name="_Toc32009"/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文件名称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  <w:bookmarkStart w:id="5" w:name="_Toc12791"/>
            <w:bookmarkStart w:id="6" w:name="_Toc451763215"/>
            <w:bookmarkStart w:id="7" w:name="_Toc9868"/>
            <w:bookmarkStart w:id="8" w:name="_Toc16155"/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安全培训教育制度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36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left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版本/修改：</w:t>
            </w:r>
            <w:r>
              <w:rPr>
                <w:rFonts w:hint="eastAsia" w:ascii="宋体" w:hAnsi="宋体" w:cs="宋体"/>
                <w:sz w:val="24"/>
                <w:szCs w:val="24"/>
              </w:rPr>
              <w:t>A/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编制人/编制部门：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任建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/安全环保管理部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 目的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加强事业部各分子公司安全生产的监控管理，规范安全培训教育明确职责，提高从业人员安全素质，防范伤亡事故，减轻职业危害，根据《中华人民共和国安全生产法》《生产经营单位安全培训管理规定》（总局令第3号）等法律、法规中的相关规定，结合公司实际</w:t>
      </w:r>
      <w:bookmarkStart w:id="9" w:name="_GoBack"/>
      <w:bookmarkEnd w:id="9"/>
      <w:r>
        <w:rPr>
          <w:rFonts w:hint="eastAsia" w:ascii="宋体" w:hAnsi="宋体" w:eastAsia="宋体" w:cs="宋体"/>
          <w:sz w:val="24"/>
        </w:rPr>
        <w:t>情况，制定本制度。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 适用范围</w:t>
      </w:r>
    </w:p>
    <w:p>
      <w:pPr>
        <w:pStyle w:val="9"/>
        <w:spacing w:line="360" w:lineRule="auto"/>
        <w:ind w:firstLine="48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本制度适用于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南充联成化学工业有限公司</w:t>
      </w:r>
      <w:r>
        <w:rPr>
          <w:rFonts w:hint="eastAsia" w:ascii="宋体" w:hAnsi="宋体" w:cs="宋体"/>
          <w:bCs/>
          <w:kern w:val="0"/>
          <w:sz w:val="24"/>
        </w:rPr>
        <w:t>事业部所属分子公司的主要负责人、安全管理人员、其他从业人员、被派遣的劳动者、实习生、外协等人员的安全生产教育和培训。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 职责权限</w:t>
      </w:r>
    </w:p>
    <w:p>
      <w:pPr>
        <w:pStyle w:val="9"/>
        <w:spacing w:line="360" w:lineRule="auto"/>
        <w:ind w:firstLine="0" w:firstLineChars="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3.1 人力资源部总体负责安全培训教育，负责对安全培训（包括三级安全培训教育记录卡及培训台账）的档案管理，组织开展厂级安全培训。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3.2 人力资源部、安全环保管理部、设备技术部、生产部负责厂级安全教育的实施。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3.3 各车间负责车间级、班组级的安全教育培训工作，培训档案交安全环保管理部审核，最终由人力资源部存档。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3.4 设备技术部</w:t>
      </w:r>
      <w:r>
        <w:rPr>
          <w:rFonts w:hint="eastAsia" w:ascii="宋体" w:hAnsi="宋体" w:eastAsia="宋体" w:cs="宋体"/>
          <w:sz w:val="24"/>
        </w:rPr>
        <w:t>负责特殊工种的专业安全技术的教育、培训、考核，并做好台账记录。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3.5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安全环保管理部负责对新员工厂级安全培训教育，做好台账记录，对车间级、班组级安全培训监督管理，对转复岗安全培训、特种工种取证等台账监督管理。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 具体规定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培训时间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4.1.1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新上岗的从业人员安全培训时间不得少于72学时。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4.1.2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每年再培训的时间不得少于20学时。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4.1.3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主要负责人和安全管理人员每年再培训时间不少于16个学时。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 入厂培训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4.2.1 新员工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凡新入厂员工(包括临时工和培训、实习、外单位调入本厂人员等)必须接受三级安全教育，教育时间不少于72小时，经考试合格后方能上岗和发放劳动保护用品。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4.2.1.1 厂级(一级)安全教育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由人力资源部、安全环保管理部、设备技术部、生产部负责实施。人力资源部负责对公司考核制度、管理规定的培训；安全环保管理部负责对安全、消防、职业卫生、环保基础知识的培训；设备技术部负责对设备基础知识的培训；生产部负责对生产工艺的培训。培训教育时间不得少于32学时，培训教育内容为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（1）公司安全生产情况及安全生产基本知识；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（2）公司安全生产规章制度和劳动纪律；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（3）从业人员安全生产权利和义务；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（4）事故应急救援预案及自救知识；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（5）有关事故案例等；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（6）其他需要培训的内容。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4.2.1.2 车间级(二级)安全教育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由车间第一负责人、三员负责组织，培训教育时间不得少于32学时，教育内容为：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工作环境及危险因素；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所从事工种可能遭受的职业危害和伤亡事故；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所从事工种的安全职责、操作技能及强制性标准；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自救互救、急救方法、疏散和现场紧急情况的处理；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安全设施设备、个人防护用品的使用和维护；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车间安全生产状况及规章制度；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预防事故和职业危害的措施及应注意的安全事项；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有关事故案例；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其他需要培训的内容。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4.2.1.3</w:t>
      </w:r>
      <w:r>
        <w:rPr>
          <w:rFonts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班组级（三级）安全教育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由班组长负责进行，培训教育时间不得少于8学时，教育内容为：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岗位安全操作规程；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岗位之间工作衔接配合的安全与职业卫生事项；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有关事故案例；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其他需要培训的内容。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4.2.2 岗位调动及脱岗半年员工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员工在厂内工作调动及脱岗半年以上重返岗位复工者，要经车间级（32学时）、班组级（8学时）两级安全培训并考核合格。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4.2.3 入厂参观、短期实习人员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由接待部门和安全环保管理部负责进行一般安全注意事项教育，指派专人负责陪同参观学习，并按规定穿戴劳动防护用品。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4.2.4 临时工、外来施工人员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由安全环保管理部负责，根据本厂实际情况进行一般安全注意事项和风险管理、事故应急措施教育，考核合格。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4.3 年度再培训</w:t>
      </w:r>
    </w:p>
    <w:p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4.3.1 主要负责人和</w:t>
      </w:r>
      <w:r>
        <w:rPr>
          <w:rFonts w:hint="eastAsia" w:ascii="宋体" w:hAnsi="宋体" w:cs="宋体"/>
          <w:bCs/>
          <w:kern w:val="0"/>
          <w:sz w:val="24"/>
        </w:rPr>
        <w:t>安全管理人员每年再培训时间不得少于16个学时，以参加外部培训机构培训，取得主要负责人资格证书和安全管理人员资格证书为标准。</w:t>
      </w:r>
    </w:p>
    <w:p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4.3.2 其他从业人员、被派遣的劳动者、实习生、外协等人员每年再培训时间不得少于20个学时，由公司安全环保管理部负责组织，各部门、车间负责实施，培训内容可参考新员工的培训内容。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4.4 特殊工种培训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4.4.1 对从事电气作业、压力容器操作、焊接（气割）作业、起重机械作业、机动车辆驾驶、等人员（包括厂内工种调动）由各主管部门按《特种作业人员安全技术培训考核管理规定》（国家安全生产监督管理总局令第30号）的要求组织专业安全技术教育，并经考试合格取得作业证后，方可进行独立作业，并按规定定期参加复审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4.4.2 在新工艺、新技术、新设备、新材料、新产品投产前，各主管部门要写出新的安全操作规程，要按新的安全操作规程，对岗位有关人员进行专门教育，并经考核合格后，方可上岗独立操作。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4.4.3 对特殊工种作业人员，各主管部门应加强日常培训，培训内容主要是专业工种安全知识、安全规程和事故案例及故障排除。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4.4.4 发生事故后，各主管部门会同安全环保管理部组织有关人员进行事故现场教育，召开事故现场会，找出事故原因，吸取事故教训，防止类似事故重复发生。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 日常培训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4.5.1 安全环保管理部要密切配合公司领导做好经常性的安全思想、安全技术和遵章守纪的宣传教育工作，充分利用广播、电视录像、黑板报、安全简报、事故通报、举办安全培训班、知识竞赛、安全专栏等多种形式，对职工进行广泛的安全教育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4.5.2 定期开展安全日和安全竞赛活动。班组坚持每天班前布置安全、班中讲安全、班后总结安全。车间班组安全活动每月不少于2次，安全环保管理部每月召开一次安全例会。每次参加安全活动人员必须要签名，并列入经济责任制考核。（公司各级管理人员和安全环保管理部人员应定期检查车间、班组安全活动情况，在记录上签字）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4.5.3 各级安全活动的主要内容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（1）传达学习贯彻上级有关安全生产的指示、通报、文件及资料。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（2）检查、总结安全生产规章制度的贯彻执行情况。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（3）分析事故案例，开展反事故演习和事故预想活动，或召开事故现场分析会等，接受教训，提出防范措施。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（4）学习安全技术和职业卫生知识。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（5）交流推广安全操作先进经验，开展安全竞赛和技术表演。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（6）发动一线员工提合理化建议，商讨解决安全工作上的缺陷。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7）表扬安全生产中的好人好事，批评各种不利于安全的错误倾向等。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4.5.4 对员工进行防毒急救和消防安全教育。由车间提出教育计划，由厂安全环保管理部统一组织。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4.5.5 根据车间生产特点、工艺装置、生产条件的变化情况，车间应经常及时地对员工进行安全教育。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4.5.6 对年度计划大修和重点项目检修，安全环保管理部应配合主管部门和检修单位进行停车前、检修前检修中和开车前的专项安全教育，确保检修安全。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</w:t>
      </w:r>
      <w:r>
        <w:rPr>
          <w:rFonts w:ascii="宋体" w:hAnsi="宋体" w:eastAsia="宋体" w:cs="宋体"/>
          <w:bCs/>
          <w:sz w:val="24"/>
        </w:rPr>
        <w:t xml:space="preserve">7 </w:t>
      </w:r>
      <w:r>
        <w:rPr>
          <w:rFonts w:hint="eastAsia" w:ascii="宋体" w:hAnsi="宋体" w:eastAsia="宋体" w:cs="宋体"/>
          <w:bCs/>
          <w:sz w:val="24"/>
        </w:rPr>
        <w:t>对重大危险性作业，作业前施工部门和安全环保管理部应按照预订的安全措施和要求，对施工人员进行专项安全教育，否则不得作业。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4.5.8 对事故责任者和违章指挥者，各级安环员根据情节有权提出意见，报公司领导批准，进行离岗安全教育。并重新履行车间、班组级安全教育，经考试合格后方可复工。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 版本管理</w:t>
      </w:r>
    </w:p>
    <w:p>
      <w:r>
        <w:rPr>
          <w:rFonts w:hint="eastAsia" w:ascii="宋体" w:hAnsi="宋体" w:cs="宋体"/>
          <w:sz w:val="24"/>
        </w:rPr>
        <w:t>本管理制度由各工厂安全环保部负责解释，如本制度与国家相关法律不符，按照国家法律法规执行。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08AE0"/>
    <w:multiLevelType w:val="singleLevel"/>
    <w:tmpl w:val="93908AE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9F282C3"/>
    <w:multiLevelType w:val="singleLevel"/>
    <w:tmpl w:val="79F282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NkNWMwOGEzYTg1NGJjZjkyZTFhYmUzYWE5ZmYifQ=="/>
  </w:docVars>
  <w:rsids>
    <w:rsidRoot w:val="00000000"/>
    <w:rsid w:val="03AD2A11"/>
    <w:rsid w:val="1F1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1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7">
    <w:name w:val=" Char"/>
    <w:basedOn w:val="1"/>
    <w:link w:val="6"/>
    <w:qFormat/>
    <w:uiPriority w:val="0"/>
    <w:rPr>
      <w:szCs w:val="21"/>
    </w:rPr>
  </w:style>
  <w:style w:type="character" w:customStyle="1" w:styleId="8">
    <w:name w:val="样式2"/>
    <w:basedOn w:val="6"/>
    <w:qFormat/>
    <w:uiPriority w:val="0"/>
    <w:rPr>
      <w:rFonts w:hint="default" w:ascii="Arial" w:hAnsi="Arial" w:cs="Arial" w:eastAsiaTheme="majorEastAsia"/>
      <w:b/>
      <w:sz w:val="32"/>
      <w:szCs w:val="21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2735</Words>
  <Characters>2880</Characters>
  <Lines>0</Lines>
  <Paragraphs>0</Paragraphs>
  <TotalTime>0</TotalTime>
  <ScaleCrop>false</ScaleCrop>
  <LinksUpToDate>false</LinksUpToDate>
  <CharactersWithSpaces>2920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2021-12-06T02:45:00Z</dcterms:created>
  <dc:creator>Administrator</dc:creator>
  <cp:lastModifiedBy>ylh</cp:lastModifiedBy>
  <dcterms:modified xsi:type="dcterms:W3CDTF">2022-11-13T10:56:39Z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4DA2B06D8F3A48219CD688B9A12F811A</vt:lpwstr>
  </property>
</Properties>
</file>