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AQSCGLZD-2024</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pPr>
            <w:r>
              <w:rPr>
                <w:rFonts w:hint="eastAsia"/>
                <w:b/>
                <w:bCs/>
                <w:lang w:eastAsia="zh-CN"/>
              </w:rPr>
              <w:t>2024</w:t>
            </w:r>
            <w:r>
              <w:rPr>
                <w:rFonts w:hint="eastAsia"/>
                <w:b/>
                <w:bCs/>
              </w:rPr>
              <w:t>年</w:t>
            </w:r>
            <w:r>
              <w:rPr>
                <w:rFonts w:hint="eastAsia"/>
                <w:b/>
                <w:bCs/>
                <w:lang w:val="en-US" w:eastAsia="zh-CN"/>
              </w:rPr>
              <w:t>01</w:t>
            </w:r>
            <w:r>
              <w:rPr>
                <w:rFonts w:hint="eastAsia"/>
                <w:b/>
                <w:bCs/>
              </w:rPr>
              <w:t>月</w:t>
            </w:r>
            <w:r>
              <w:rPr>
                <w:rFonts w:hint="eastAsia"/>
                <w:b/>
                <w:bCs/>
                <w:lang w:val="en-US" w:eastAsia="zh-CN"/>
              </w:rPr>
              <w:t>01</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spacing w:line="360" w:lineRule="auto"/>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安全生产管理制度</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2024-01-01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both"/>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生效日期：2024年01月01</w:t>
            </w:r>
            <w:bookmarkStart w:id="6" w:name="_GoBack"/>
            <w:bookmarkEnd w:id="6"/>
            <w:r>
              <w:rPr>
                <w:rFonts w:hint="eastAsia" w:ascii="黑体" w:hAnsi="黑体" w:eastAsia="黑体" w:cs="黑体"/>
                <w:sz w:val="30"/>
                <w:szCs w:val="30"/>
                <w:u w:val="none"/>
                <w:lang w:val="en-US" w:eastAsia="zh-CN"/>
              </w:rPr>
              <w:t>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tabs>
          <w:tab w:val="left" w:pos="5695"/>
        </w:tabs>
        <w:spacing w:line="360" w:lineRule="auto"/>
        <w:rPr>
          <w:rFonts w:hint="eastAsia" w:ascii="宋体" w:hAnsi="宋体" w:eastAsia="宋体" w:cs="宋体"/>
          <w:sz w:val="36"/>
          <w:szCs w:val="44"/>
          <w:lang w:eastAsia="zh-CN"/>
        </w:rPr>
      </w:pPr>
      <w:r>
        <w:rPr>
          <w:rFonts w:hint="eastAsia" w:ascii="宋体" w:hAnsi="宋体" w:eastAsia="宋体" w:cs="宋体"/>
          <w:sz w:val="36"/>
          <w:szCs w:val="44"/>
          <w:lang w:eastAsia="zh-CN"/>
        </w:rPr>
        <w:tab/>
      </w:r>
    </w:p>
    <w:sdt>
      <w:sdtPr>
        <w:rPr>
          <w:rFonts w:ascii="宋体" w:hAnsi="宋体" w:eastAsia="宋体" w:cstheme="minorBidi"/>
          <w:kern w:val="2"/>
          <w:sz w:val="21"/>
          <w:szCs w:val="24"/>
          <w:lang w:val="en-US" w:eastAsia="zh-CN" w:bidi="ar-SA"/>
        </w:rPr>
        <w:id w:val="147477595"/>
        <w15:color w:val="DBDBDB"/>
        <w:docPartObj>
          <w:docPartGallery w:val="Table of Contents"/>
          <w:docPartUnique/>
        </w:docPartObj>
      </w:sdtPr>
      <w:sdtEndPr>
        <w:rPr>
          <w:rFonts w:hint="eastAsia" w:ascii="仿宋" w:hAnsi="仿宋" w:eastAsia="仿宋" w:cs="仿宋"/>
          <w:b w:val="0"/>
          <w:bCs w:val="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pStyle w:val="13"/>
            <w:tabs>
              <w:tab w:val="right" w:leader="dot" w:pos="9072"/>
            </w:tabs>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TOC \o "1-2" \h \u </w:instrText>
          </w:r>
          <w:r>
            <w:rPr>
              <w:rFonts w:hint="eastAsia" w:ascii="仿宋" w:hAnsi="仿宋" w:eastAsia="仿宋" w:cs="仿宋"/>
              <w:b w:val="0"/>
              <w:bCs w:val="0"/>
              <w:sz w:val="32"/>
              <w:szCs w:val="32"/>
            </w:rPr>
            <w:fldChar w:fldCharType="separate"/>
          </w: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_Toc22721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1、总则</w:t>
          </w:r>
          <w:r>
            <w:tab/>
          </w:r>
          <w:r>
            <w:fldChar w:fldCharType="begin"/>
          </w:r>
          <w:r>
            <w:instrText xml:space="preserve"> PAGEREF _Toc22721 \h </w:instrText>
          </w:r>
          <w:r>
            <w:fldChar w:fldCharType="separate"/>
          </w:r>
          <w:r>
            <w:t>3</w:t>
          </w:r>
          <w:r>
            <w:fldChar w:fldCharType="end"/>
          </w:r>
          <w:r>
            <w:rPr>
              <w:rFonts w:hint="eastAsia" w:ascii="仿宋" w:hAnsi="仿宋" w:eastAsia="仿宋" w:cs="仿宋"/>
              <w:bCs w:val="0"/>
              <w:szCs w:val="32"/>
            </w:rPr>
            <w:fldChar w:fldCharType="end"/>
          </w:r>
        </w:p>
        <w:p>
          <w:pPr>
            <w:pStyle w:val="13"/>
            <w:tabs>
              <w:tab w:val="right" w:leader="dot" w:pos="9072"/>
            </w:tabs>
          </w:pP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_Toc2918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2</w:t>
          </w:r>
          <w:r>
            <w:rPr>
              <w:rFonts w:hint="default" w:ascii="宋体" w:hAnsi="宋体" w:eastAsia="宋体" w:cs="宋体"/>
              <w:bCs w:val="0"/>
              <w:szCs w:val="24"/>
              <w:lang w:val="en-US" w:eastAsia="zh-CN"/>
            </w:rPr>
            <w:t>、机构与职责</w:t>
          </w:r>
          <w:r>
            <w:tab/>
          </w:r>
          <w:r>
            <w:fldChar w:fldCharType="begin"/>
          </w:r>
          <w:r>
            <w:instrText xml:space="preserve"> PAGEREF _Toc2918 \h </w:instrText>
          </w:r>
          <w:r>
            <w:fldChar w:fldCharType="separate"/>
          </w:r>
          <w:r>
            <w:t>3</w:t>
          </w:r>
          <w:r>
            <w:fldChar w:fldCharType="end"/>
          </w:r>
          <w:r>
            <w:rPr>
              <w:rFonts w:hint="eastAsia" w:ascii="仿宋" w:hAnsi="仿宋" w:eastAsia="仿宋" w:cs="仿宋"/>
              <w:bCs w:val="0"/>
              <w:szCs w:val="32"/>
            </w:rPr>
            <w:fldChar w:fldCharType="end"/>
          </w:r>
        </w:p>
        <w:p>
          <w:pPr>
            <w:pStyle w:val="13"/>
            <w:tabs>
              <w:tab w:val="right" w:leader="dot" w:pos="9072"/>
            </w:tabs>
          </w:pP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_Toc10045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3、教育与培训</w:t>
          </w:r>
          <w:r>
            <w:tab/>
          </w:r>
          <w:r>
            <w:fldChar w:fldCharType="begin"/>
          </w:r>
          <w:r>
            <w:instrText xml:space="preserve"> PAGEREF _Toc10045 \h </w:instrText>
          </w:r>
          <w:r>
            <w:fldChar w:fldCharType="separate"/>
          </w:r>
          <w:r>
            <w:t>4</w:t>
          </w:r>
          <w:r>
            <w:fldChar w:fldCharType="end"/>
          </w:r>
          <w:r>
            <w:rPr>
              <w:rFonts w:hint="eastAsia" w:ascii="仿宋" w:hAnsi="仿宋" w:eastAsia="仿宋" w:cs="仿宋"/>
              <w:bCs w:val="0"/>
              <w:szCs w:val="32"/>
            </w:rPr>
            <w:fldChar w:fldCharType="end"/>
          </w:r>
        </w:p>
        <w:p>
          <w:pPr>
            <w:pStyle w:val="13"/>
            <w:tabs>
              <w:tab w:val="right" w:leader="dot" w:pos="9072"/>
            </w:tabs>
          </w:pP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_Toc29971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4、检查和整改</w:t>
          </w:r>
          <w:r>
            <w:tab/>
          </w:r>
          <w:r>
            <w:fldChar w:fldCharType="begin"/>
          </w:r>
          <w:r>
            <w:instrText xml:space="preserve"> PAGEREF _Toc29971 \h </w:instrText>
          </w:r>
          <w:r>
            <w:fldChar w:fldCharType="separate"/>
          </w:r>
          <w:r>
            <w:t>4</w:t>
          </w:r>
          <w:r>
            <w:fldChar w:fldCharType="end"/>
          </w:r>
          <w:r>
            <w:rPr>
              <w:rFonts w:hint="eastAsia" w:ascii="仿宋" w:hAnsi="仿宋" w:eastAsia="仿宋" w:cs="仿宋"/>
              <w:bCs w:val="0"/>
              <w:szCs w:val="32"/>
            </w:rPr>
            <w:fldChar w:fldCharType="end"/>
          </w:r>
        </w:p>
        <w:p>
          <w:pPr>
            <w:pStyle w:val="13"/>
            <w:tabs>
              <w:tab w:val="right" w:leader="dot" w:pos="9072"/>
            </w:tabs>
          </w:pP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_Toc12660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5、安全生产考核</w:t>
          </w:r>
          <w:r>
            <w:tab/>
          </w:r>
          <w:r>
            <w:fldChar w:fldCharType="begin"/>
          </w:r>
          <w:r>
            <w:instrText xml:space="preserve"> PAGEREF _Toc12660 \h </w:instrText>
          </w:r>
          <w:r>
            <w:fldChar w:fldCharType="separate"/>
          </w:r>
          <w:r>
            <w:t>4</w:t>
          </w:r>
          <w:r>
            <w:fldChar w:fldCharType="end"/>
          </w:r>
          <w:r>
            <w:rPr>
              <w:rFonts w:hint="eastAsia" w:ascii="仿宋" w:hAnsi="仿宋" w:eastAsia="仿宋" w:cs="仿宋"/>
              <w:bCs w:val="0"/>
              <w:szCs w:val="32"/>
            </w:rPr>
            <w:fldChar w:fldCharType="end"/>
          </w:r>
        </w:p>
        <w:p>
          <w:pPr>
            <w:pStyle w:val="13"/>
            <w:tabs>
              <w:tab w:val="right" w:leader="dot" w:pos="9072"/>
            </w:tabs>
          </w:pPr>
          <w:r>
            <w:rPr>
              <w:rFonts w:hint="eastAsia" w:ascii="仿宋" w:hAnsi="仿宋" w:eastAsia="仿宋" w:cs="仿宋"/>
              <w:bCs w:val="0"/>
              <w:szCs w:val="32"/>
            </w:rPr>
            <w:fldChar w:fldCharType="begin"/>
          </w:r>
          <w:r>
            <w:rPr>
              <w:rFonts w:hint="eastAsia" w:ascii="仿宋" w:hAnsi="仿宋" w:eastAsia="仿宋" w:cs="仿宋"/>
              <w:bCs w:val="0"/>
              <w:szCs w:val="32"/>
            </w:rPr>
            <w:instrText xml:space="preserve"> HYPERLINK \l _Toc11478 </w:instrText>
          </w:r>
          <w:r>
            <w:rPr>
              <w:rFonts w:hint="eastAsia" w:ascii="仿宋" w:hAnsi="仿宋" w:eastAsia="仿宋" w:cs="仿宋"/>
              <w:bCs w:val="0"/>
              <w:szCs w:val="32"/>
            </w:rPr>
            <w:fldChar w:fldCharType="separate"/>
          </w:r>
          <w:r>
            <w:rPr>
              <w:rFonts w:hint="eastAsia" w:ascii="宋体" w:hAnsi="宋体" w:eastAsia="宋体" w:cs="宋体"/>
              <w:bCs w:val="0"/>
              <w:szCs w:val="24"/>
              <w:lang w:val="en-US" w:eastAsia="zh-CN"/>
            </w:rPr>
            <w:t>6、奖励与处罚</w:t>
          </w:r>
          <w:r>
            <w:tab/>
          </w:r>
          <w:r>
            <w:fldChar w:fldCharType="begin"/>
          </w:r>
          <w:r>
            <w:instrText xml:space="preserve"> PAGEREF _Toc11478 \h </w:instrText>
          </w:r>
          <w:r>
            <w:fldChar w:fldCharType="separate"/>
          </w:r>
          <w:r>
            <w:t>5</w:t>
          </w:r>
          <w:r>
            <w:fldChar w:fldCharType="end"/>
          </w:r>
          <w:r>
            <w:rPr>
              <w:rFonts w:hint="eastAsia" w:ascii="仿宋" w:hAnsi="仿宋" w:eastAsia="仿宋" w:cs="仿宋"/>
              <w:bCs w:val="0"/>
              <w:szCs w:val="32"/>
            </w:rPr>
            <w:fldChar w:fldCharType="end"/>
          </w:r>
        </w:p>
        <w:p>
          <w:pPr>
            <w:rPr>
              <w:rFonts w:hint="eastAsia" w:ascii="仿宋" w:hAnsi="仿宋" w:eastAsia="仿宋" w:cs="仿宋"/>
              <w:b w:val="0"/>
              <w:bCs w:val="0"/>
              <w:sz w:val="32"/>
              <w:szCs w:val="32"/>
            </w:rPr>
          </w:pPr>
          <w:r>
            <w:rPr>
              <w:rFonts w:hint="eastAsia" w:ascii="仿宋" w:hAnsi="仿宋" w:eastAsia="仿宋" w:cs="仿宋"/>
              <w:bCs w:val="0"/>
              <w:szCs w:val="32"/>
            </w:rPr>
            <w:fldChar w:fldCharType="end"/>
          </w:r>
        </w:p>
      </w:sdtContent>
    </w:sdt>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宋体" w:hAnsi="宋体" w:eastAsia="宋体" w:cs="宋体"/>
          <w:b/>
          <w:sz w:val="28"/>
          <w:szCs w:val="28"/>
          <w:lang w:val="en-US" w:eastAsia="zh-CN"/>
        </w:rPr>
      </w:pPr>
      <w:r>
        <w:rPr>
          <w:rFonts w:hint="eastAsia" w:ascii="仿宋" w:hAnsi="仿宋" w:eastAsia="仿宋" w:cs="仿宋"/>
          <w:b w:val="0"/>
          <w:bCs w:val="0"/>
          <w:sz w:val="32"/>
          <w:szCs w:val="32"/>
          <w:lang w:val="en-US" w:eastAsia="zh-CN"/>
        </w:rPr>
        <w:br w:type="page"/>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eastAsia" w:ascii="宋体" w:hAnsi="宋体" w:eastAsia="宋体" w:cs="宋体"/>
          <w:b/>
          <w:bCs w:val="0"/>
          <w:sz w:val="24"/>
          <w:szCs w:val="24"/>
          <w:lang w:val="en-US" w:eastAsia="zh-CN"/>
        </w:rPr>
      </w:pPr>
      <w:bookmarkStart w:id="0" w:name="_Toc22721"/>
      <w:r>
        <w:rPr>
          <w:rFonts w:hint="eastAsia" w:ascii="宋体" w:hAnsi="宋体" w:eastAsia="宋体" w:cs="宋体"/>
          <w:b/>
          <w:bCs w:val="0"/>
          <w:sz w:val="24"/>
          <w:szCs w:val="24"/>
          <w:lang w:val="en-US" w:eastAsia="zh-CN"/>
        </w:rPr>
        <w:t>1、总则</w:t>
      </w:r>
      <w:bookmarkEnd w:id="0"/>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w:t>
      </w:r>
      <w:r>
        <w:rPr>
          <w:rFonts w:hint="default" w:ascii="宋体" w:hAnsi="宋体" w:eastAsia="宋体" w:cs="宋体"/>
          <w:b w:val="0"/>
          <w:bCs/>
          <w:sz w:val="24"/>
          <w:szCs w:val="24"/>
          <w:lang w:val="en-US" w:eastAsia="zh-CN"/>
        </w:rPr>
        <w:t>为加强安全生产管理，保护劳动者在生产过程中的安全和健康，促进公司事业的发展，制订本规定</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w:t>
      </w:r>
      <w:r>
        <w:rPr>
          <w:rFonts w:hint="default" w:ascii="宋体" w:hAnsi="宋体" w:eastAsia="宋体" w:cs="宋体"/>
          <w:b w:val="0"/>
          <w:bCs/>
          <w:sz w:val="24"/>
          <w:szCs w:val="24"/>
          <w:lang w:val="en-US" w:eastAsia="zh-CN"/>
        </w:rPr>
        <w:t>各级领导要坚持“管生产必须管安全”的原则，贯彻“安全第一，预防为主”的方针，实现安全文明生产。</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default" w:ascii="宋体" w:hAnsi="宋体" w:eastAsia="宋体" w:cs="宋体"/>
          <w:b/>
          <w:bCs w:val="0"/>
          <w:sz w:val="24"/>
          <w:szCs w:val="24"/>
          <w:lang w:val="en-US" w:eastAsia="zh-CN"/>
        </w:rPr>
      </w:pPr>
      <w:bookmarkStart w:id="1" w:name="_Toc2918"/>
      <w:r>
        <w:rPr>
          <w:rFonts w:hint="eastAsia" w:ascii="宋体" w:hAnsi="宋体" w:eastAsia="宋体" w:cs="宋体"/>
          <w:b/>
          <w:bCs w:val="0"/>
          <w:sz w:val="24"/>
          <w:szCs w:val="24"/>
          <w:lang w:val="en-US" w:eastAsia="zh-CN"/>
        </w:rPr>
        <w:t>2</w:t>
      </w:r>
      <w:r>
        <w:rPr>
          <w:rFonts w:hint="default" w:ascii="宋体" w:hAnsi="宋体" w:eastAsia="宋体" w:cs="宋体"/>
          <w:b/>
          <w:bCs w:val="0"/>
          <w:sz w:val="24"/>
          <w:szCs w:val="24"/>
          <w:lang w:val="en-US" w:eastAsia="zh-CN"/>
        </w:rPr>
        <w:t>、机构与职责</w:t>
      </w:r>
      <w:bookmarkEnd w:id="1"/>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w:t>
      </w:r>
      <w:r>
        <w:rPr>
          <w:rFonts w:hint="default" w:ascii="宋体" w:hAnsi="宋体" w:eastAsia="宋体" w:cs="宋体"/>
          <w:b w:val="0"/>
          <w:bCs/>
          <w:sz w:val="24"/>
          <w:szCs w:val="24"/>
          <w:lang w:val="en-US" w:eastAsia="zh-CN"/>
        </w:rPr>
        <w:t>公司必须成立安全生产领导小组，负责对本公司的职工进行安全生产教育，制订安全生产实施细则和操作规程，实施安全生产监督检查，贯彻执行安委会的各项安全指令，确保生产安全。安全生产领导小组组长由各公司第一负责人担任，并按规定配备专(兼)职安全生产管理人员。各班组要选配一名不脱产的安全员。</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w:t>
      </w:r>
      <w:r>
        <w:rPr>
          <w:rFonts w:hint="default" w:ascii="宋体" w:hAnsi="宋体" w:eastAsia="宋体" w:cs="宋体"/>
          <w:b w:val="0"/>
          <w:bCs/>
          <w:sz w:val="24"/>
          <w:szCs w:val="24"/>
          <w:lang w:val="en-US" w:eastAsia="zh-CN"/>
        </w:rPr>
        <w:t>各公司安全生产领导小组组长是本公司安全生产的第一责任人，分管生产的领导和专(兼)职安全生产管理员是本公司安全生产的责任人。</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w:t>
      </w:r>
      <w:r>
        <w:rPr>
          <w:rFonts w:hint="default" w:ascii="宋体" w:hAnsi="宋体" w:eastAsia="宋体" w:cs="宋体"/>
          <w:b w:val="0"/>
          <w:bCs/>
          <w:sz w:val="24"/>
          <w:szCs w:val="24"/>
          <w:lang w:val="en-US" w:eastAsia="zh-CN"/>
        </w:rPr>
        <w:t>各职能部门必须在本职业务范围内做好安全生产的各项工作。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w:t>
      </w:r>
      <w:r>
        <w:rPr>
          <w:rFonts w:hint="default" w:ascii="宋体" w:hAnsi="宋体" w:eastAsia="宋体" w:cs="宋体"/>
          <w:b w:val="0"/>
          <w:bCs/>
          <w:sz w:val="24"/>
          <w:szCs w:val="24"/>
          <w:lang w:val="en-US" w:eastAsia="zh-CN"/>
        </w:rPr>
        <w:t>公司安全生产责任人职责</w:t>
      </w:r>
      <w:r>
        <w:rPr>
          <w:rFonts w:hint="eastAsia" w:ascii="宋体" w:hAnsi="宋体" w:eastAsia="宋体" w:cs="宋体"/>
          <w:b w:val="0"/>
          <w:bCs/>
          <w:sz w:val="24"/>
          <w:szCs w:val="24"/>
          <w:lang w:val="en-US"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1．</w:t>
      </w:r>
      <w:r>
        <w:rPr>
          <w:rFonts w:hint="default" w:ascii="宋体" w:hAnsi="宋体" w:eastAsia="宋体" w:cs="宋体"/>
          <w:b w:val="0"/>
          <w:bCs/>
          <w:sz w:val="24"/>
          <w:szCs w:val="24"/>
          <w:lang w:val="en-US" w:eastAsia="zh-CN"/>
        </w:rPr>
        <w:t>协助领导贯彻执行劳动保护法令、制度，管理日常安全生产工作。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2．</w:t>
      </w:r>
      <w:r>
        <w:rPr>
          <w:rFonts w:hint="default" w:ascii="宋体" w:hAnsi="宋体" w:eastAsia="宋体" w:cs="宋体"/>
          <w:b w:val="0"/>
          <w:bCs/>
          <w:sz w:val="24"/>
          <w:szCs w:val="24"/>
          <w:lang w:val="en-US" w:eastAsia="zh-CN"/>
        </w:rPr>
        <w:t>汇总和审查安全生产措施计划，并督促有关部门切实按期执行。</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3．</w:t>
      </w:r>
      <w:r>
        <w:rPr>
          <w:rFonts w:hint="default" w:ascii="宋体" w:hAnsi="宋体" w:eastAsia="宋体" w:cs="宋体"/>
          <w:b w:val="0"/>
          <w:bCs/>
          <w:sz w:val="24"/>
          <w:szCs w:val="24"/>
          <w:lang w:val="en-US" w:eastAsia="zh-CN"/>
        </w:rPr>
        <w:t>制定、修订安全生产管理制度，并对这些制度的贯彻执行情况进行监督检查。</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4．</w:t>
      </w:r>
      <w:r>
        <w:rPr>
          <w:rFonts w:hint="default" w:ascii="宋体" w:hAnsi="宋体" w:eastAsia="宋体" w:cs="宋体"/>
          <w:b w:val="0"/>
          <w:bCs/>
          <w:sz w:val="24"/>
          <w:szCs w:val="24"/>
          <w:lang w:val="en-US" w:eastAsia="zh-CN"/>
        </w:rPr>
        <w:t>组织开展安全生产大检查。经常深入现场指导生产中的劳动保护工作遇有特别紧急的不安全情况时，有权指令停止生产，并立即报告研究处理.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sz w:val="24"/>
          <w:szCs w:val="24"/>
          <w:lang w:val="en-US" w:eastAsia="zh-CN"/>
        </w:rPr>
      </w:pPr>
      <w:r>
        <w:rPr>
          <w:rFonts w:hint="eastAsia" w:ascii="宋体" w:hAnsi="宋体" w:eastAsia="宋体" w:cs="宋体"/>
          <w:kern w:val="2"/>
          <w:sz w:val="24"/>
          <w:szCs w:val="24"/>
          <w:lang w:val="en-US" w:eastAsia="zh-CN" w:bidi="ar-SA"/>
        </w:rPr>
        <w:t>5．</w:t>
      </w:r>
      <w:r>
        <w:rPr>
          <w:rFonts w:hint="default" w:ascii="宋体" w:hAnsi="宋体" w:eastAsia="宋体" w:cs="宋体"/>
          <w:b w:val="0"/>
          <w:bCs/>
          <w:sz w:val="24"/>
          <w:szCs w:val="24"/>
          <w:lang w:val="en-US" w:eastAsia="zh-CN"/>
        </w:rPr>
        <w:t>总结和推广安全生产的先进经验，协助有关部门搞好安全生产的宣传教育和专业培训。</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6．参加伤亡事故的调查和处理，负责伤亡事故的统计、分析和报告，协助有关部门提出防止事故的措施，并督促其按时实现。</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7．对上级的指示和基层的情况上传下达，做好信息反馈工作，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（七）各班组安全员要经常检查、督促本班组人员遵守安全生产制度和操作规程。做好设备、工具等安全检查、保养工作。及时向上级报告本班组的安全生产情况。做好原始资料的登记和保管工作。</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（八）员工在生产、工作中要认真学习和执行安全技术操作规程，遵守各项规章制度。爱护生产设备和安全防护装置、设施及劳动保护用品。发现不安全情况，及时报告领导，迅速予以排除。</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eastAsia" w:ascii="宋体" w:hAnsi="宋体" w:eastAsia="宋体" w:cs="宋体"/>
          <w:b/>
          <w:bCs w:val="0"/>
          <w:sz w:val="24"/>
          <w:szCs w:val="24"/>
          <w:lang w:val="en-US" w:eastAsia="zh-CN"/>
        </w:rPr>
      </w:pPr>
      <w:bookmarkStart w:id="2" w:name="_Toc10045"/>
      <w:r>
        <w:rPr>
          <w:rFonts w:hint="eastAsia" w:ascii="宋体" w:hAnsi="宋体" w:eastAsia="宋体" w:cs="宋体"/>
          <w:b/>
          <w:bCs w:val="0"/>
          <w:sz w:val="24"/>
          <w:szCs w:val="24"/>
          <w:lang w:val="en-US" w:eastAsia="zh-CN"/>
        </w:rPr>
        <w:t>3、教育与培训</w:t>
      </w:r>
      <w:bookmarkEnd w:id="2"/>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（九）对新入职员工，必须先进行安全生产的三级教育 (即生产单位、生产部门(班组)、生产岗位) 才能准其进入操作岗位。对改变工种的工人，必需重新进行安全教育才能上岗。</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（十）对从事特殊工种人员，必须进行专业安全技术培训，经有关部门严格考核并取得合格操作证(执照)后，才能准其独立操作。对特殊工种的在岗人员，必须进行经常性的安全教育。</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eastAsia" w:ascii="宋体" w:hAnsi="宋体" w:eastAsia="宋体" w:cs="宋体"/>
          <w:b/>
          <w:bCs w:val="0"/>
          <w:sz w:val="24"/>
          <w:szCs w:val="24"/>
          <w:lang w:val="en-US" w:eastAsia="zh-CN"/>
        </w:rPr>
      </w:pPr>
      <w:bookmarkStart w:id="3" w:name="_Toc29971"/>
      <w:r>
        <w:rPr>
          <w:rFonts w:hint="eastAsia" w:ascii="宋体" w:hAnsi="宋体" w:eastAsia="宋体" w:cs="宋体"/>
          <w:b/>
          <w:bCs w:val="0"/>
          <w:sz w:val="24"/>
          <w:szCs w:val="24"/>
          <w:lang w:val="en-US" w:eastAsia="zh-CN"/>
        </w:rPr>
        <w:t>4、检查和整改</w:t>
      </w:r>
      <w:bookmarkEnd w:id="3"/>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坚持定期或不定期的安全生产检查。公司安委会将不定期对各子公司进行检查，各子公司安全生产领导小组每季检查不少于一次各生产班组应实行班前班后安全检查；特殊工种和设备的操作者应进行每天检查。</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（十二）发现不安全隐患，必须及时整改，如本端口不能进行整改的要立即报告安委办统一安排整改。</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eastAsia" w:ascii="宋体" w:hAnsi="宋体" w:eastAsia="宋体" w:cs="宋体"/>
          <w:b/>
          <w:bCs w:val="0"/>
          <w:sz w:val="24"/>
          <w:szCs w:val="24"/>
          <w:lang w:val="en-US" w:eastAsia="zh-CN"/>
        </w:rPr>
      </w:pPr>
      <w:bookmarkStart w:id="4" w:name="_Toc12660"/>
      <w:r>
        <w:rPr>
          <w:rFonts w:hint="eastAsia" w:ascii="宋体" w:hAnsi="宋体" w:eastAsia="宋体" w:cs="宋体"/>
          <w:b/>
          <w:bCs w:val="0"/>
          <w:sz w:val="24"/>
          <w:szCs w:val="24"/>
          <w:lang w:val="en-US" w:eastAsia="zh-CN"/>
        </w:rPr>
        <w:t>5、安全生产考核</w:t>
      </w:r>
      <w:bookmarkEnd w:id="4"/>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（十三）每年一月份上旬，各子公司安全生产第一责任人必须与集团安委会签订《安全生产责任书》，明确双方的责任及义务</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（十四）项目设置与考核</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1．公司的安全事故分为五等级:(1)特别重大事故、(2) 重大事故、(3)较大事故、(4)一般事故、(5) 安全操作事故</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60" w:firstLineChars="2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(1)、(2)、(3)、(4) 按照国务院第 493 号令《生产安全事故报告和调查处例》；（5)安全操作事故:是指未造成人员死亡，但人员发生伤残，每次直接经济损失 (不计商业保险或工伤保险理赔，但含事故人员工资)达5 千元以上，年累计直接经济损失 5 万元以上的事故。</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2．安全生产考核分二大部分: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1）安全事故控制目标；</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2)安全生产工作目标。</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考核对象为各子公司。</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（1）考核标准总分为 100 分。安全生产控制目标占 50 分安全生产工作目标占50 分。考核内容见《安全生产考核表》(修改版 2号)</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（2）各公司在被考核前，应对照《安全生产考核表》内容进行自查，对自查不合格的项目要进行整改。</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（3）安全生产考核分值占其公司绩效考核总分值的 8%，每年可根据安全生产的实际情况予以调整。</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（4）各公司要严格实行安全生产考核制度，集团安委会每年年终一次对各子公司进行整体考核,每半年或每季度进行的安全生产考核则作为年终整体考核的参考资料。</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（十五）发生安全操作以上事故的，事故现场有关人员应当立即向本公司负责人报告，公司负责人接到报告后，应当于 1小时内电话通知集团安委会，并于一天内填写《安全事故申报表》报集团安委会。</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jc w:val="left"/>
        <w:textAlignment w:val="auto"/>
        <w:outlineLvl w:val="0"/>
        <w:rPr>
          <w:rFonts w:hint="eastAsia" w:ascii="宋体" w:hAnsi="宋体" w:eastAsia="宋体" w:cs="宋体"/>
          <w:b/>
          <w:bCs w:val="0"/>
          <w:sz w:val="24"/>
          <w:szCs w:val="24"/>
          <w:lang w:val="en-US" w:eastAsia="zh-CN"/>
        </w:rPr>
      </w:pPr>
      <w:bookmarkStart w:id="5" w:name="_Toc11478"/>
      <w:r>
        <w:rPr>
          <w:rFonts w:hint="eastAsia" w:ascii="宋体" w:hAnsi="宋体" w:eastAsia="宋体" w:cs="宋体"/>
          <w:b/>
          <w:bCs w:val="0"/>
          <w:sz w:val="24"/>
          <w:szCs w:val="24"/>
          <w:lang w:val="en-US" w:eastAsia="zh-CN"/>
        </w:rPr>
        <w:t>6、奖励与处罚</w:t>
      </w:r>
      <w:bookmarkEnd w:id="5"/>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（十六）每年集团将对各子公司安全生产工作总结一次，在总结的基础上,由集团安委办组织评选安全生产先进单位，颁发荣誉证书。</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（十七） 安全生产先进单位的基本条件:</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1、认真贯彻“安全第一，预防为主”的方针，执行上级有关安全生产的法令法规，落实安全责任制，加强安全生产管理；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2、安全生产机构健全，人员措施落实，运转有序；</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3、严格执行各项安全生产规章制度，开展经常性的安全生产教育，有培训考核记录，不断增强职工的安全意识和提高职工的自我保护能力；</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4、加强安全生产检查，及时整改事故隐患，积极改善劳动条件；</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5、连续三年以上无责任性职工死亡和重伤事故，交通事故也逐年减少，安全生产工作成绩显著；</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6、安全生产年终考核得分 95 以上。</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（十八）对安全生产有特殊贡献的个人，经所在公司申报，集团安委会批准后给予奖励。</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（十九）发生一般及以上事故 (含交通事故)的公司，年度内不能评先进并视情节轻重，扣罚安全生产第一责任人和主要责任人发生事故当月工资的10-50%，并扣罚年终奖金的 10-50%。</w:t>
      </w:r>
    </w:p>
    <w:p>
      <w:p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（二十）凡发生安全生产事故，要按有关规定报告。如有瞒报、虚报、漏报或故意延迟不报的，除责成补报外，分别扣罚安全生产第一责任人和直接责任人发生事故当月工资的 20%，对触及刑律的，追究其法律责任。</w:t>
      </w: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lang w:eastAsia="zh-CN"/>
            </w:rPr>
            <w:t>2024</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8991" w:type="dxa"/>
      <w:jc w:val="center"/>
      <w:tblLayout w:type="fixed"/>
      <w:tblCellMar>
        <w:top w:w="0" w:type="dxa"/>
        <w:left w:w="0" w:type="dxa"/>
        <w:bottom w:w="0" w:type="dxa"/>
        <w:right w:w="0" w:type="dxa"/>
      </w:tblCellMar>
    </w:tblPr>
    <w:tblGrid>
      <w:gridCol w:w="762"/>
      <w:gridCol w:w="800"/>
      <w:gridCol w:w="950"/>
      <w:gridCol w:w="917"/>
      <w:gridCol w:w="1050"/>
      <w:gridCol w:w="828"/>
      <w:gridCol w:w="960"/>
      <w:gridCol w:w="745"/>
      <w:gridCol w:w="1979"/>
    </w:tblGrid>
    <w:tr>
      <w:tblPrEx>
        <w:tblCellMar>
          <w:top w:w="0" w:type="dxa"/>
          <w:left w:w="0" w:type="dxa"/>
          <w:bottom w:w="0" w:type="dxa"/>
          <w:right w:w="0" w:type="dxa"/>
        </w:tblCellMar>
      </w:tblPrEx>
      <w:trPr>
        <w:cantSplit/>
        <w:trHeight w:val="269" w:hRule="atLeast"/>
        <w:jc w:val="center"/>
      </w:trPr>
      <w:tc>
        <w:tcPr>
          <w:tcW w:w="5307"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272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AQSCGLZD-2024</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54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7</w:t>
          </w:r>
          <w:r>
            <w:rPr>
              <w:rFonts w:hint="eastAsia"/>
              <w:b/>
              <w:bCs/>
            </w:rPr>
            <w:t>页</w:t>
          </w:r>
        </w:p>
      </w:tc>
    </w:tr>
    <w:tr>
      <w:tblPrEx>
        <w:tblCellMar>
          <w:top w:w="0" w:type="dxa"/>
          <w:left w:w="0" w:type="dxa"/>
          <w:bottom w:w="0" w:type="dxa"/>
          <w:right w:w="0" w:type="dxa"/>
        </w:tblCellMar>
      </w:tblPrEx>
      <w:trPr>
        <w:cantSplit/>
        <w:trHeight w:val="189"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27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lang w:eastAsia="zh-CN"/>
            </w:rPr>
            <w:t>2024</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EC70BEC"/>
    <w:rsid w:val="0FD141C3"/>
    <w:rsid w:val="11A706B9"/>
    <w:rsid w:val="11D334FB"/>
    <w:rsid w:val="11F600D7"/>
    <w:rsid w:val="13145075"/>
    <w:rsid w:val="17D54D17"/>
    <w:rsid w:val="17E8173E"/>
    <w:rsid w:val="19475930"/>
    <w:rsid w:val="1B715B45"/>
    <w:rsid w:val="1C540E62"/>
    <w:rsid w:val="1EA60393"/>
    <w:rsid w:val="202C0FB4"/>
    <w:rsid w:val="213C4FC9"/>
    <w:rsid w:val="22A7542C"/>
    <w:rsid w:val="260E2B09"/>
    <w:rsid w:val="26473ED0"/>
    <w:rsid w:val="26667E05"/>
    <w:rsid w:val="2CBA7CDF"/>
    <w:rsid w:val="2DAD42EB"/>
    <w:rsid w:val="2DD41286"/>
    <w:rsid w:val="2EE971D6"/>
    <w:rsid w:val="2FAC16F6"/>
    <w:rsid w:val="31F87619"/>
    <w:rsid w:val="3228718E"/>
    <w:rsid w:val="32B94714"/>
    <w:rsid w:val="33021B8B"/>
    <w:rsid w:val="33237387"/>
    <w:rsid w:val="34A640F4"/>
    <w:rsid w:val="35377ED2"/>
    <w:rsid w:val="35EF6B71"/>
    <w:rsid w:val="360A5E18"/>
    <w:rsid w:val="374F76FB"/>
    <w:rsid w:val="38D25620"/>
    <w:rsid w:val="3CF01CCF"/>
    <w:rsid w:val="3F6D0A65"/>
    <w:rsid w:val="3FBA776C"/>
    <w:rsid w:val="412800B8"/>
    <w:rsid w:val="414A7C46"/>
    <w:rsid w:val="41FC66A4"/>
    <w:rsid w:val="42267595"/>
    <w:rsid w:val="42522137"/>
    <w:rsid w:val="42892A33"/>
    <w:rsid w:val="42937935"/>
    <w:rsid w:val="429955FF"/>
    <w:rsid w:val="432F3B2D"/>
    <w:rsid w:val="436A3622"/>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B6A20D4"/>
    <w:rsid w:val="5C273FB3"/>
    <w:rsid w:val="5D4F6922"/>
    <w:rsid w:val="5D727568"/>
    <w:rsid w:val="5ED36EC0"/>
    <w:rsid w:val="5F650707"/>
    <w:rsid w:val="5FCA5376"/>
    <w:rsid w:val="60FD01C3"/>
    <w:rsid w:val="6157146B"/>
    <w:rsid w:val="623969F3"/>
    <w:rsid w:val="62A041E4"/>
    <w:rsid w:val="62B51F71"/>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3309</Words>
  <Characters>3408</Characters>
  <Lines>0</Lines>
  <Paragraphs>0</Paragraphs>
  <TotalTime>1</TotalTime>
  <ScaleCrop>false</ScaleCrop>
  <LinksUpToDate>false</LinksUpToDate>
  <CharactersWithSpaces>3507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2024-04-11T06:07:29Z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