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F705">
      <w:pPr>
        <w:jc w:val="center"/>
        <w:rPr>
          <w:rFonts w:hint="eastAsia" w:ascii="宋体" w:hAnsi="宋体" w:eastAsia="宋体" w:cs="宋体"/>
          <w:b/>
          <w:bCs/>
          <w:sz w:val="48"/>
        </w:rPr>
      </w:pPr>
      <w:r>
        <w:rPr>
          <w:rFonts w:hint="eastAsia" w:ascii="宋体" w:hAnsi="宋体" w:eastAsia="宋体" w:cs="宋体"/>
          <w:b/>
          <w:bCs/>
          <w:sz w:val="48"/>
        </w:rPr>
        <w:t>会  议  记  录</w:t>
      </w:r>
    </w:p>
    <w:p w14:paraId="61D6F3F5">
      <w:pPr>
        <w:jc w:val="center"/>
        <w:rPr>
          <w:rFonts w:hint="default" w:ascii="Times New Roman" w:hAnsi="Times New Roman" w:eastAsia="方正大标宋简体" w:cs="Times New Roman"/>
          <w:sz w:val="28"/>
          <w:lang w:val="en-US" w:eastAsia="zh-CN"/>
        </w:rPr>
      </w:pPr>
      <w:r>
        <w:rPr>
          <w:rFonts w:hint="eastAsia" w:ascii="Times New Roman" w:hAnsi="Times New Roman" w:eastAsia="方正大标宋简体" w:cs="Times New Roman"/>
          <w:sz w:val="28"/>
          <w:lang w:val="en-US" w:eastAsia="zh-CN"/>
        </w:rPr>
        <w:t xml:space="preserve">                                                     </w:t>
      </w:r>
      <w:r>
        <w:rPr>
          <w:rFonts w:ascii="Times New Roman" w:hAnsi="Times New Roman" w:eastAsia="方正大标宋简体" w:cs="Times New Roman"/>
          <w:b/>
          <w:bCs/>
          <w:sz w:val="28"/>
        </w:rPr>
        <w:t>编号：</w:t>
      </w:r>
      <w:r>
        <w:rPr>
          <w:rFonts w:hint="eastAsia" w:ascii="Times New Roman" w:hAnsi="Times New Roman" w:eastAsia="方正大标宋简体" w:cs="Times New Roman"/>
          <w:b/>
          <w:bCs/>
          <w:sz w:val="28"/>
          <w:lang w:val="en-US" w:eastAsia="zh-CN"/>
        </w:rPr>
        <w:t>2025.06</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536"/>
        <w:gridCol w:w="1842"/>
        <w:gridCol w:w="1843"/>
      </w:tblGrid>
      <w:tr w14:paraId="6237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69B7D62">
            <w:pPr>
              <w:jc w:val="center"/>
              <w:rPr>
                <w:rFonts w:hint="eastAsia" w:ascii="黑体" w:hAnsi="黑体" w:eastAsia="黑体" w:cs="黑体"/>
                <w:b/>
                <w:sz w:val="28"/>
              </w:rPr>
            </w:pPr>
            <w:r>
              <w:rPr>
                <w:rFonts w:hint="eastAsia" w:ascii="黑体" w:hAnsi="黑体" w:eastAsia="黑体" w:cs="黑体"/>
                <w:b/>
                <w:sz w:val="28"/>
              </w:rPr>
              <w:t>会议名称</w:t>
            </w:r>
          </w:p>
        </w:tc>
        <w:tc>
          <w:tcPr>
            <w:tcW w:w="8221" w:type="dxa"/>
            <w:gridSpan w:val="3"/>
            <w:vAlign w:val="center"/>
          </w:tcPr>
          <w:p w14:paraId="2A1CD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6月份安全例会</w:t>
            </w:r>
          </w:p>
        </w:tc>
      </w:tr>
      <w:tr w14:paraId="7AEE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2AC050">
            <w:pPr>
              <w:jc w:val="center"/>
              <w:rPr>
                <w:rFonts w:hint="eastAsia" w:ascii="黑体" w:hAnsi="黑体" w:eastAsia="黑体" w:cs="黑体"/>
                <w:b/>
                <w:sz w:val="28"/>
              </w:rPr>
            </w:pPr>
            <w:r>
              <w:rPr>
                <w:rFonts w:hint="eastAsia" w:ascii="黑体" w:hAnsi="黑体" w:eastAsia="黑体" w:cs="黑体"/>
                <w:b/>
                <w:sz w:val="28"/>
              </w:rPr>
              <w:t>会议主题</w:t>
            </w:r>
          </w:p>
        </w:tc>
        <w:tc>
          <w:tcPr>
            <w:tcW w:w="8221" w:type="dxa"/>
            <w:gridSpan w:val="3"/>
            <w:vAlign w:val="center"/>
          </w:tcPr>
          <w:p w14:paraId="59B94DEB">
            <w:pPr>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文件学习、工作总结、7月工作部署</w:t>
            </w:r>
          </w:p>
        </w:tc>
      </w:tr>
      <w:tr w14:paraId="0529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AAC8525">
            <w:pPr>
              <w:jc w:val="center"/>
              <w:rPr>
                <w:rFonts w:hint="eastAsia" w:ascii="黑体" w:hAnsi="黑体" w:eastAsia="黑体" w:cs="黑体"/>
                <w:b/>
                <w:sz w:val="28"/>
              </w:rPr>
            </w:pPr>
            <w:r>
              <w:rPr>
                <w:rFonts w:hint="eastAsia" w:ascii="黑体" w:hAnsi="黑体" w:eastAsia="黑体" w:cs="黑体"/>
                <w:b/>
                <w:sz w:val="28"/>
              </w:rPr>
              <w:t>会议时间</w:t>
            </w:r>
          </w:p>
        </w:tc>
        <w:tc>
          <w:tcPr>
            <w:tcW w:w="4536" w:type="dxa"/>
            <w:vAlign w:val="center"/>
          </w:tcPr>
          <w:p w14:paraId="384FE44E">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2025.6.23    上午10:00</w:t>
            </w:r>
          </w:p>
        </w:tc>
        <w:tc>
          <w:tcPr>
            <w:tcW w:w="1842" w:type="dxa"/>
            <w:vAlign w:val="center"/>
          </w:tcPr>
          <w:p w14:paraId="75890451">
            <w:pPr>
              <w:jc w:val="center"/>
              <w:rPr>
                <w:rFonts w:hint="eastAsia" w:ascii="宋体" w:hAnsi="宋体" w:eastAsia="宋体" w:cs="宋体"/>
                <w:b/>
                <w:sz w:val="28"/>
                <w:szCs w:val="28"/>
              </w:rPr>
            </w:pPr>
            <w:r>
              <w:rPr>
                <w:rFonts w:hint="eastAsia" w:ascii="宋体" w:hAnsi="宋体" w:eastAsia="宋体" w:cs="宋体"/>
                <w:b/>
                <w:sz w:val="28"/>
                <w:szCs w:val="28"/>
              </w:rPr>
              <w:t>会议主持人</w:t>
            </w:r>
          </w:p>
        </w:tc>
        <w:tc>
          <w:tcPr>
            <w:tcW w:w="1843" w:type="dxa"/>
            <w:vAlign w:val="center"/>
          </w:tcPr>
          <w:p w14:paraId="1C18F83C">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谭光舜</w:t>
            </w:r>
          </w:p>
        </w:tc>
      </w:tr>
      <w:tr w14:paraId="120E7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A46F270">
            <w:pPr>
              <w:jc w:val="center"/>
              <w:rPr>
                <w:rFonts w:hint="eastAsia" w:ascii="黑体" w:hAnsi="黑体" w:eastAsia="黑体" w:cs="黑体"/>
                <w:b/>
                <w:sz w:val="28"/>
              </w:rPr>
            </w:pPr>
            <w:r>
              <w:rPr>
                <w:rFonts w:hint="eastAsia" w:ascii="黑体" w:hAnsi="黑体" w:eastAsia="黑体" w:cs="黑体"/>
                <w:b/>
                <w:sz w:val="28"/>
              </w:rPr>
              <w:t>会议地点</w:t>
            </w:r>
          </w:p>
        </w:tc>
        <w:tc>
          <w:tcPr>
            <w:tcW w:w="4536" w:type="dxa"/>
            <w:vAlign w:val="center"/>
          </w:tcPr>
          <w:p w14:paraId="64FAFB14">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红运驾校总校二楼会议室</w:t>
            </w:r>
          </w:p>
        </w:tc>
        <w:tc>
          <w:tcPr>
            <w:tcW w:w="1842" w:type="dxa"/>
            <w:vAlign w:val="center"/>
          </w:tcPr>
          <w:p w14:paraId="665D16F9">
            <w:pPr>
              <w:jc w:val="center"/>
              <w:rPr>
                <w:rFonts w:hint="eastAsia" w:ascii="宋体" w:hAnsi="宋体" w:eastAsia="宋体" w:cs="宋体"/>
                <w:b/>
                <w:sz w:val="28"/>
                <w:szCs w:val="28"/>
              </w:rPr>
            </w:pPr>
            <w:r>
              <w:rPr>
                <w:rFonts w:hint="eastAsia" w:ascii="宋体" w:hAnsi="宋体" w:eastAsia="宋体" w:cs="宋体"/>
                <w:b/>
                <w:sz w:val="28"/>
                <w:szCs w:val="28"/>
              </w:rPr>
              <w:t>会议记录人</w:t>
            </w:r>
          </w:p>
        </w:tc>
        <w:tc>
          <w:tcPr>
            <w:tcW w:w="1843" w:type="dxa"/>
            <w:vAlign w:val="center"/>
          </w:tcPr>
          <w:p w14:paraId="7AA25C80">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王艳</w:t>
            </w:r>
          </w:p>
        </w:tc>
      </w:tr>
      <w:tr w14:paraId="4D65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555" w:type="dxa"/>
            <w:vAlign w:val="center"/>
          </w:tcPr>
          <w:p w14:paraId="517A5486">
            <w:pPr>
              <w:jc w:val="center"/>
              <w:rPr>
                <w:rFonts w:ascii="Times New Roman" w:hAnsi="Times New Roman" w:cs="Times New Roman"/>
                <w:b/>
                <w:sz w:val="28"/>
              </w:rPr>
            </w:pPr>
            <w:r>
              <w:rPr>
                <w:rFonts w:hint="eastAsia" w:ascii="黑体" w:hAnsi="黑体" w:eastAsia="黑体" w:cs="黑体"/>
                <w:b/>
                <w:sz w:val="28"/>
              </w:rPr>
              <w:t>参会人员</w:t>
            </w:r>
          </w:p>
        </w:tc>
        <w:tc>
          <w:tcPr>
            <w:tcW w:w="8221" w:type="dxa"/>
            <w:gridSpan w:val="3"/>
            <w:vAlign w:val="center"/>
          </w:tcPr>
          <w:p w14:paraId="49A58F42">
            <w:pP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领导：</w:t>
            </w:r>
            <w:r>
              <w:rPr>
                <w:rFonts w:hint="eastAsia" w:ascii="宋体" w:hAnsi="宋体" w:eastAsia="宋体" w:cs="宋体"/>
                <w:b/>
                <w:bCs/>
                <w:sz w:val="28"/>
                <w:szCs w:val="28"/>
                <w:lang w:val="en-US" w:eastAsia="zh-CN"/>
              </w:rPr>
              <w:t>谭</w:t>
            </w:r>
            <w:r>
              <w:rPr>
                <w:rFonts w:hint="eastAsia" w:ascii="宋体" w:hAnsi="宋体" w:eastAsia="宋体" w:cs="宋体"/>
                <w:b/>
                <w:bCs/>
                <w:sz w:val="28"/>
                <w:szCs w:val="28"/>
                <w:lang w:eastAsia="zh-CN"/>
              </w:rPr>
              <w:t>光舜</w:t>
            </w:r>
            <w:r>
              <w:rPr>
                <w:rFonts w:hint="eastAsia" w:ascii="宋体" w:hAnsi="宋体" w:eastAsia="宋体" w:cs="宋体"/>
                <w:b/>
                <w:bCs/>
                <w:sz w:val="28"/>
                <w:szCs w:val="28"/>
                <w:lang w:val="en-US" w:eastAsia="zh-CN"/>
              </w:rPr>
              <w:t xml:space="preserve">  龙传木 丁强 </w:t>
            </w:r>
          </w:p>
          <w:p w14:paraId="79B27E32">
            <w:p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职工：所有在职员工、教练员</w:t>
            </w:r>
          </w:p>
        </w:tc>
      </w:tr>
      <w:tr w14:paraId="44B1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5" w:hRule="atLeast"/>
        </w:trPr>
        <w:tc>
          <w:tcPr>
            <w:tcW w:w="1555" w:type="dxa"/>
            <w:vAlign w:val="center"/>
          </w:tcPr>
          <w:p w14:paraId="13F5056D">
            <w:pPr>
              <w:jc w:val="center"/>
              <w:rPr>
                <w:rFonts w:hint="eastAsia" w:ascii="黑体" w:hAnsi="黑体" w:eastAsia="黑体" w:cs="黑体"/>
                <w:b/>
                <w:sz w:val="28"/>
              </w:rPr>
            </w:pPr>
            <w:r>
              <w:rPr>
                <w:rFonts w:hint="eastAsia" w:ascii="黑体" w:hAnsi="黑体" w:eastAsia="黑体" w:cs="黑体"/>
                <w:b/>
                <w:sz w:val="28"/>
              </w:rPr>
              <w:t>会议</w:t>
            </w:r>
          </w:p>
          <w:p w14:paraId="0360EF39">
            <w:pPr>
              <w:jc w:val="center"/>
              <w:rPr>
                <w:rFonts w:hint="eastAsia" w:ascii="黑体" w:hAnsi="黑体" w:eastAsia="黑体" w:cs="黑体"/>
                <w:b/>
                <w:sz w:val="28"/>
              </w:rPr>
            </w:pPr>
            <w:r>
              <w:rPr>
                <w:rFonts w:hint="eastAsia" w:ascii="黑体" w:hAnsi="黑体" w:eastAsia="黑体" w:cs="黑体"/>
                <w:b/>
                <w:sz w:val="28"/>
              </w:rPr>
              <w:t>主要</w:t>
            </w:r>
          </w:p>
          <w:p w14:paraId="245286A5">
            <w:pPr>
              <w:jc w:val="center"/>
              <w:rPr>
                <w:rFonts w:ascii="Times New Roman" w:hAnsi="Times New Roman" w:cs="Times New Roman"/>
                <w:b/>
                <w:sz w:val="28"/>
              </w:rPr>
            </w:pPr>
            <w:r>
              <w:rPr>
                <w:rFonts w:hint="eastAsia" w:ascii="黑体" w:hAnsi="黑体" w:eastAsia="黑体" w:cs="黑体"/>
                <w:b/>
                <w:sz w:val="28"/>
              </w:rPr>
              <w:t>内容</w:t>
            </w:r>
          </w:p>
        </w:tc>
        <w:tc>
          <w:tcPr>
            <w:tcW w:w="8221" w:type="dxa"/>
            <w:gridSpan w:val="3"/>
            <w:vAlign w:val="center"/>
          </w:tcPr>
          <w:p w14:paraId="1D0CD275">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谭光舜主讲</w:t>
            </w:r>
          </w:p>
          <w:p w14:paraId="7395CE38">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文件学习</w:t>
            </w:r>
          </w:p>
          <w:p w14:paraId="3F413CEF">
            <w:pPr>
              <w:pStyle w:val="2"/>
              <w:keepNext w:val="0"/>
              <w:keepLines w:val="0"/>
              <w:pageBreakBefore w:val="0"/>
              <w:widowControl w:val="0"/>
              <w:kinsoku/>
              <w:wordWrap/>
              <w:overflowPunct/>
              <w:topLinePunct w:val="0"/>
              <w:autoSpaceDE/>
              <w:autoSpaceDN/>
              <w:bidi w:val="0"/>
              <w:adjustRightInd/>
              <w:spacing w:line="460" w:lineRule="exact"/>
              <w:ind w:firstLine="642"/>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1、学习《关于认真贯彻落实习近平总书记重要指示精神坚决防范遏制重特大火灾事故的通知》；</w:t>
            </w:r>
          </w:p>
          <w:p w14:paraId="2F2434BB">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学习仪陇县交通运输局《关于切实做好2025年汛期全县交通运输安全防范工作的通知》（仪交发【2025】45号）；</w:t>
            </w:r>
          </w:p>
          <w:p w14:paraId="51D3E44D">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学习仪陇县交通运输局《关于进一步加强全县公路水路交通运输领域应急管理能力建设的工作方案》（仪交发【2025】46号）；</w:t>
            </w:r>
          </w:p>
          <w:p w14:paraId="638B3BA1">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 xml:space="preserve">学习南充市交通运输局《关于做好厅工作组帮扶指导南充发现仪陇县隆顺运业有限公司超长车站分公司（客运站）有关问题隐患整改的通知》（南市交安【2025】19号 ） </w:t>
            </w:r>
          </w:p>
          <w:p w14:paraId="6C43C218">
            <w:pPr>
              <w:pStyle w:val="2"/>
              <w:keepNext w:val="0"/>
              <w:keepLines w:val="0"/>
              <w:pageBreakBefore w:val="0"/>
              <w:widowControl w:val="0"/>
              <w:numPr>
                <w:ilvl w:val="0"/>
                <w:numId w:val="2"/>
              </w:numPr>
              <w:kinsoku/>
              <w:wordWrap/>
              <w:overflowPunct/>
              <w:topLinePunct w:val="0"/>
              <w:autoSpaceDE/>
              <w:autoSpaceDN/>
              <w:bidi w:val="0"/>
              <w:adjustRightInd/>
              <w:spacing w:line="460" w:lineRule="exact"/>
              <w:ind w:firstLine="642"/>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学习仪道安办关于深刻吸取巴中南江“6·11”较大道路交通事故教训全力做好事故预防工作的通知；</w:t>
            </w:r>
          </w:p>
          <w:p w14:paraId="2E3422B6">
            <w:pPr>
              <w:numPr>
                <w:ilvl w:val="0"/>
                <w:numId w:val="2"/>
              </w:numPr>
              <w:ind w:left="0" w:leftChars="0" w:firstLine="642" w:firstLineChars="0"/>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学习仪陇县交通运输局《关于开展2025年全县公路水路行业“安全生产月”活动的通知》（仪交发【2025】46号）；</w:t>
            </w:r>
          </w:p>
          <w:p w14:paraId="77A89E2E">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谭校长：</w:t>
            </w:r>
          </w:p>
          <w:p w14:paraId="0D87A960">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两个主题：</w:t>
            </w:r>
          </w:p>
          <w:p w14:paraId="371F0B9B">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一.本次例会的目的：总结5月份安全工作，部署6月份安全重点，强化全员安全意识，确保训练及教学过程零事故。</w:t>
            </w:r>
          </w:p>
          <w:p w14:paraId="0BDEB7E8">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二.强调夏季高温、多雨等天气对驾培安全的影响，提醒各岗位做好应对准备。</w:t>
            </w:r>
          </w:p>
          <w:p w14:paraId="3B89ED47">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夏季安全专项管理：</w:t>
            </w:r>
          </w:p>
          <w:p w14:paraId="09727367">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高温天气防护：要求教练车配备防暑药品（如藿香正气水），避免正午高温时段高强度训练，教练员需关注学员身体状况；</w:t>
            </w:r>
          </w:p>
          <w:p w14:paraId="7F022F75">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雨季安全：检查场地排水系统，雨后及时清理积水、淤泥，提醒教练员雨天训练减速慢行，重点检查车辆雨刮器、刹车性能。</w:t>
            </w:r>
          </w:p>
          <w:p w14:paraId="547922A5">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场地与车辆安全强化：</w:t>
            </w:r>
          </w:p>
          <w:p w14:paraId="4D34F0CD">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丁强牵头，每周组织1次场地设施全面排查（重点检查边坡、排水沟、防护网等），发现隐患24小时内整改；</w:t>
            </w:r>
          </w:p>
          <w:p w14:paraId="62DC0C55">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教练车实行“出车前必查、收车后必检”制度，教练员每日记录车辆状况，行政部每周抽查，对未执行的教练员严肃处理。</w:t>
            </w:r>
          </w:p>
          <w:p w14:paraId="3FA810A2">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责任落实与监督：</w:t>
            </w:r>
          </w:p>
          <w:p w14:paraId="6A862C5F">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明确各岗位安全职责（教练员对本车学员安全负直接责任，丁强对场地整体安全负管理责任）；</w:t>
            </w:r>
          </w:p>
          <w:p w14:paraId="5678285F">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丁校长：</w:t>
            </w:r>
          </w:p>
          <w:p w14:paraId="5BB6735E">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训练场地安全情况：</w:t>
            </w:r>
          </w:p>
          <w:p w14:paraId="311BE24D">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场地设施检查结果（如标线、桩位、防护栏、消防器材等是否完好）；</w:t>
            </w:r>
          </w:p>
          <w:p w14:paraId="7CC4E246">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5月份场地内安全隐患排查及整改情况（如有未整改项，说明原因及计划）；</w:t>
            </w:r>
          </w:p>
          <w:p w14:paraId="35FD33C2">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教练员、学员在场地训练中的违规操作案例（如未按规定系安全带、超速、擅自离开教学区域等）及处理结果。</w:t>
            </w:r>
          </w:p>
          <w:p w14:paraId="36C3EAAB">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车辆安全情况：</w:t>
            </w:r>
          </w:p>
          <w:p w14:paraId="63118F60">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教练车日常检查、保养及维修记录（重点说明刹车、灯光、轮胎等关键部件状况）；</w:t>
            </w:r>
          </w:p>
          <w:p w14:paraId="3A7D2C87">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5月份车辆故障及处理情况，是否影响训练安全。</w:t>
            </w:r>
          </w:p>
          <w:p w14:paraId="31F6E43E">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人员安全管理：</w:t>
            </w:r>
          </w:p>
          <w:p w14:paraId="695A439A">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教练员安全培训、应急演练参与情况；</w:t>
            </w:r>
          </w:p>
          <w:p w14:paraId="6436E7CD">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学员安全须知传达及执行情况（如签到、安全承诺签署等）。</w:t>
            </w:r>
          </w:p>
          <w:p w14:paraId="06583356">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其他安全事项：</w:t>
            </w:r>
          </w:p>
          <w:p w14:paraId="128931BF">
            <w:pPr>
              <w:pStyle w:val="2"/>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5月份天气异常（如暴雨、高温）时的安全应对措施及效果；</w:t>
            </w:r>
          </w:p>
          <w:p w14:paraId="5C6E8D8C">
            <w:pPr>
              <w:pStyle w:val="2"/>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w:t>
            </w:r>
            <w:r>
              <w:rPr>
                <w:rFonts w:hint="eastAsia" w:ascii="宋体" w:hAnsi="宋体" w:eastAsia="宋体" w:cs="宋体"/>
                <w:b/>
                <w:bCs/>
                <w:sz w:val="28"/>
                <w:szCs w:val="28"/>
                <w:lang w:val="en-US" w:eastAsia="zh-CN"/>
              </w:rPr>
              <w:tab/>
            </w:r>
            <w:r>
              <w:rPr>
                <w:rFonts w:hint="eastAsia" w:ascii="宋体" w:hAnsi="宋体" w:eastAsia="宋体" w:cs="宋体"/>
                <w:b/>
                <w:bCs/>
                <w:sz w:val="28"/>
                <w:szCs w:val="28"/>
                <w:lang w:val="en-US" w:eastAsia="zh-CN"/>
              </w:rPr>
              <w:t>办公区域、学员休息区的安全管理情况（如用电安全、消防通道畅通等）</w:t>
            </w:r>
          </w:p>
          <w:p w14:paraId="29CFCEFD">
            <w:pPr>
              <w:numPr>
                <w:ilvl w:val="0"/>
                <w:numId w:val="0"/>
              </w:numPr>
              <w:rPr>
                <w:rFonts w:hint="eastAsia" w:ascii="宋体" w:hAnsi="宋体" w:eastAsia="宋体" w:cs="宋体"/>
                <w:sz w:val="28"/>
                <w:szCs w:val="28"/>
                <w:lang w:val="en-US" w:eastAsia="zh-CN"/>
              </w:rPr>
            </w:pPr>
          </w:p>
        </w:tc>
      </w:tr>
      <w:tr w14:paraId="5E51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7C7A2D2">
            <w:pPr>
              <w:jc w:val="center"/>
              <w:rPr>
                <w:rFonts w:ascii="Times New Roman" w:hAnsi="Times New Roman" w:cs="Times New Roman"/>
                <w:b/>
                <w:sz w:val="28"/>
              </w:rPr>
            </w:pPr>
            <w:r>
              <w:rPr>
                <w:rFonts w:ascii="Times New Roman" w:hAnsi="Times New Roman" w:cs="Times New Roman"/>
                <w:b/>
                <w:sz w:val="28"/>
              </w:rPr>
              <w:t>备</w:t>
            </w:r>
            <w:r>
              <w:rPr>
                <w:rFonts w:hint="eastAsia" w:ascii="Times New Roman" w:hAnsi="Times New Roman" w:cs="Times New Roman"/>
                <w:b/>
                <w:sz w:val="28"/>
              </w:rPr>
              <w:t xml:space="preserve"> </w:t>
            </w:r>
            <w:r>
              <w:rPr>
                <w:rFonts w:ascii="Times New Roman" w:hAnsi="Times New Roman" w:cs="Times New Roman"/>
                <w:b/>
                <w:sz w:val="28"/>
              </w:rPr>
              <w:t xml:space="preserve">  注</w:t>
            </w:r>
          </w:p>
        </w:tc>
        <w:tc>
          <w:tcPr>
            <w:tcW w:w="8221" w:type="dxa"/>
            <w:gridSpan w:val="3"/>
            <w:vAlign w:val="center"/>
          </w:tcPr>
          <w:p w14:paraId="398D8EDC">
            <w:pPr>
              <w:rPr>
                <w:rFonts w:hint="eastAsia" w:ascii="宋体" w:hAnsi="宋体" w:eastAsia="宋体" w:cs="宋体"/>
                <w:sz w:val="28"/>
              </w:rPr>
            </w:pPr>
          </w:p>
        </w:tc>
      </w:tr>
    </w:tbl>
    <w:p w14:paraId="4CAE68F9">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14:paraId="543DEC94">
      <w:pPr>
        <w:rPr>
          <w:rFonts w:hint="eastAsia" w:ascii="Times New Roman" w:hAnsi="Times New Roman" w:cs="Times New Roman"/>
          <w:lang w:val="en-US" w:eastAsia="zh-CN"/>
        </w:rPr>
      </w:pPr>
    </w:p>
    <w:p w14:paraId="7EB47277">
      <w:pPr>
        <w:rPr>
          <w:rFonts w:hint="eastAsia" w:ascii="Times New Roman" w:hAnsi="Times New Roman" w:cs="Times New Roman"/>
          <w:lang w:val="en-US" w:eastAsia="zh-CN"/>
        </w:rPr>
      </w:pPr>
    </w:p>
    <w:p w14:paraId="608D8B6C">
      <w:pPr>
        <w:rPr>
          <w:rFonts w:hint="eastAsia" w:ascii="Times New Roman" w:hAnsi="Times New Roman" w:cs="Times New Roman"/>
          <w:lang w:val="en-US" w:eastAsia="zh-CN"/>
        </w:rPr>
      </w:pPr>
    </w:p>
    <w:p w14:paraId="0B32A0A5">
      <w:pPr>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6178550" cy="3765550"/>
            <wp:effectExtent l="0" t="0" r="12700" b="6350"/>
            <wp:docPr id="1" name="图片 1" descr="98c4fd49da67d19780c347447aad3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c4fd49da67d19780c347447aad37a"/>
                    <pic:cNvPicPr>
                      <a:picLocks noChangeAspect="1"/>
                    </pic:cNvPicPr>
                  </pic:nvPicPr>
                  <pic:blipFill>
                    <a:blip r:embed="rId4"/>
                    <a:stretch>
                      <a:fillRect/>
                    </a:stretch>
                  </pic:blipFill>
                  <pic:spPr>
                    <a:xfrm>
                      <a:off x="0" y="0"/>
                      <a:ext cx="6178550" cy="3765550"/>
                    </a:xfrm>
                    <a:prstGeom prst="rect">
                      <a:avLst/>
                    </a:prstGeom>
                  </pic:spPr>
                </pic:pic>
              </a:graphicData>
            </a:graphic>
          </wp:inline>
        </w:drawing>
      </w:r>
      <w:r>
        <w:rPr>
          <w:rFonts w:hint="eastAsia" w:ascii="宋体" w:hAnsi="宋体" w:eastAsia="宋体" w:cs="宋体"/>
          <w:lang w:val="en-US" w:eastAsia="zh-CN"/>
        </w:rPr>
        <w:drawing>
          <wp:inline distT="0" distB="0" distL="114300" distR="114300">
            <wp:extent cx="6181090" cy="4814570"/>
            <wp:effectExtent l="0" t="0" r="10160" b="5080"/>
            <wp:docPr id="2" name="图片 2" descr="cea30e1643ebfd8de9d23cc0dee2f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a30e1643ebfd8de9d23cc0dee2f8a"/>
                    <pic:cNvPicPr>
                      <a:picLocks noChangeAspect="1"/>
                    </pic:cNvPicPr>
                  </pic:nvPicPr>
                  <pic:blipFill>
                    <a:blip r:embed="rId5"/>
                    <a:stretch>
                      <a:fillRect/>
                    </a:stretch>
                  </pic:blipFill>
                  <pic:spPr>
                    <a:xfrm>
                      <a:off x="0" y="0"/>
                      <a:ext cx="6181090" cy="4814570"/>
                    </a:xfrm>
                    <a:prstGeom prst="rect">
                      <a:avLst/>
                    </a:prstGeom>
                  </pic:spPr>
                </pic:pic>
              </a:graphicData>
            </a:graphic>
          </wp:inline>
        </w:drawing>
      </w:r>
      <w:bookmarkStart w:id="0" w:name="_GoBack"/>
      <w:bookmarkEnd w:id="0"/>
    </w:p>
    <w:sectPr>
      <w:pgSz w:w="11906" w:h="16838"/>
      <w:pgMar w:top="1418" w:right="1077" w:bottom="1361"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2687CF-DBDB-4204-8933-AF97BD8DE6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script"/>
    <w:pitch w:val="default"/>
    <w:sig w:usb0="A00002BF" w:usb1="184F6CFA" w:usb2="00000012" w:usb3="00000000" w:csb0="00040001" w:csb1="00000000"/>
    <w:embedRegular r:id="rId2" w:fontKey="{2267E230-E836-481E-92BC-F4A9D1DD444F}"/>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FD85E"/>
    <w:multiLevelType w:val="singleLevel"/>
    <w:tmpl w:val="39DFD85E"/>
    <w:lvl w:ilvl="0" w:tentative="0">
      <w:start w:val="2"/>
      <w:numFmt w:val="decimal"/>
      <w:suff w:val="nothing"/>
      <w:lvlText w:val="%1、"/>
      <w:lvlJc w:val="left"/>
    </w:lvl>
  </w:abstractNum>
  <w:abstractNum w:abstractNumId="1">
    <w:nsid w:val="67A57340"/>
    <w:multiLevelType w:val="singleLevel"/>
    <w:tmpl w:val="67A5734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MTUsImhkaWQiOiI1OTIxOWY5OTkxOWYxNDA0YjQzZGM2YjM2MDJhNjE4YSIsInVzZXJDb3VudCI6Mn0="/>
  </w:docVars>
  <w:rsids>
    <w:rsidRoot w:val="7DF803B1"/>
    <w:rsid w:val="00036326"/>
    <w:rsid w:val="000853F3"/>
    <w:rsid w:val="001A2A24"/>
    <w:rsid w:val="00667076"/>
    <w:rsid w:val="006B6D1F"/>
    <w:rsid w:val="00A214BC"/>
    <w:rsid w:val="00AB48A3"/>
    <w:rsid w:val="00C16F81"/>
    <w:rsid w:val="00EE6C10"/>
    <w:rsid w:val="05D76C05"/>
    <w:rsid w:val="0AA07F0D"/>
    <w:rsid w:val="0AA738C7"/>
    <w:rsid w:val="0D560195"/>
    <w:rsid w:val="1230601B"/>
    <w:rsid w:val="12D90D1D"/>
    <w:rsid w:val="15DF5D8E"/>
    <w:rsid w:val="16D51AC3"/>
    <w:rsid w:val="180712E0"/>
    <w:rsid w:val="1CA809AD"/>
    <w:rsid w:val="1D303373"/>
    <w:rsid w:val="214E48EF"/>
    <w:rsid w:val="22344593"/>
    <w:rsid w:val="22546A8E"/>
    <w:rsid w:val="234611FA"/>
    <w:rsid w:val="25094134"/>
    <w:rsid w:val="289B1FE8"/>
    <w:rsid w:val="28A343AB"/>
    <w:rsid w:val="2A092F82"/>
    <w:rsid w:val="2A424F7F"/>
    <w:rsid w:val="315C6E28"/>
    <w:rsid w:val="33144D2A"/>
    <w:rsid w:val="3630579B"/>
    <w:rsid w:val="38BB4D8E"/>
    <w:rsid w:val="426B25D4"/>
    <w:rsid w:val="48084421"/>
    <w:rsid w:val="48FA111F"/>
    <w:rsid w:val="49A856B1"/>
    <w:rsid w:val="4FA40C5A"/>
    <w:rsid w:val="548359FA"/>
    <w:rsid w:val="54CC6443"/>
    <w:rsid w:val="55043BFB"/>
    <w:rsid w:val="564B5CB7"/>
    <w:rsid w:val="592C7F07"/>
    <w:rsid w:val="5DBA7B13"/>
    <w:rsid w:val="5DEC0969"/>
    <w:rsid w:val="66522FDF"/>
    <w:rsid w:val="69A4749B"/>
    <w:rsid w:val="6A8D6CDC"/>
    <w:rsid w:val="6C512439"/>
    <w:rsid w:val="6C553532"/>
    <w:rsid w:val="6E6164B5"/>
    <w:rsid w:val="6FF15DFA"/>
    <w:rsid w:val="73237C8C"/>
    <w:rsid w:val="73FB1931"/>
    <w:rsid w:val="74AB66DC"/>
    <w:rsid w:val="77513458"/>
    <w:rsid w:val="794C50F5"/>
    <w:rsid w:val="7CE87DA1"/>
    <w:rsid w:val="7DF8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sz w:val="21"/>
      <w:szCs w:val="22"/>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417d3015-b11d-43a1-b4ed-6ee005bbe4e5\&#20250;&#35758;&#32426;&#35201;%20&#20250;&#35758;&#35760;&#24405;&#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会议纪要 会议记录表.docx</Template>
  <Pages>4</Pages>
  <Words>1142</Words>
  <Characters>1191</Characters>
  <Lines>2</Lines>
  <Paragraphs>1</Paragraphs>
  <TotalTime>9</TotalTime>
  <ScaleCrop>false</ScaleCrop>
  <LinksUpToDate>false</LinksUpToDate>
  <CharactersWithSpaces>1285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2022-04-21T01:02:00Z</dcterms:created>
  <dc:creator>Miuo18200156675</dc:creator>
  <cp:lastModifiedBy>大王叫我来巡山</cp:lastModifiedBy>
  <cp:lastPrinted>2025-08-04T07:58:12Z</cp:lastPrinted>
  <dcterms:modified xsi:type="dcterms:W3CDTF">2025-08-04T07:59:20Z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v1.0_mb_BIuWvTpB2vDqyIoZqZdhmQ==</vt:lpwstr>
  </property>
  <property fmtid="{D5CDD505-2E9C-101B-9397-08002B2CF9AE}" pid="4" name="ICV">
    <vt:lpwstr>F67798CC1A2347AE8C1957060AF6B29B_13</vt:lpwstr>
  </property>
  <property fmtid="{D5CDD505-2E9C-101B-9397-08002B2CF9AE}" pid="5" name="KSOTemplateDocerSaveRecord">
    <vt:lpwstr>eyJoZGlkIjoiMzc4MGIyZTEyZjI0YmY2ZWU2YTk0Y2I1YTEyNzAyMzIiLCJ1c2VySWQiOiI5MTkzNDg5MzAifQ==</vt:lpwstr>
  </property>
</Properties>
</file>