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大标宋简体" w:cs="Times New Roman"/>
          <w:sz w:val="48"/>
        </w:rPr>
      </w:pPr>
      <w:r>
        <w:rPr>
          <w:rFonts w:hint="eastAsia" w:ascii="Times New Roman" w:hAnsi="Times New Roman" w:eastAsia="方正大标宋简体" w:cs="Times New Roman"/>
          <w:sz w:val="48"/>
        </w:rPr>
        <w:t xml:space="preserve">会  议  </w:t>
      </w:r>
      <w:r>
        <w:rPr>
          <w:rFonts w:hint="eastAsia" w:ascii="Times New Roman" w:hAnsi="Times New Roman" w:eastAsia="方正大标宋简体" w:cs="Times New Roman"/>
          <w:b/>
          <w:bCs/>
          <w:sz w:val="48"/>
        </w:rPr>
        <w:t>记  录</w:t>
      </w:r>
    </w:p>
    <w:p>
      <w:pPr>
        <w:jc w:val="center"/>
        <w:rPr>
          <w:rFonts w:hint="default" w:ascii="Times New Roman" w:hAnsi="Times New Roman" w:eastAsia="方正大标宋简体" w:cs="Times New Roman"/>
          <w:sz w:val="28"/>
          <w:lang w:val="en-US" w:eastAsia="zh-CN"/>
        </w:rPr>
      </w:pPr>
      <w:r>
        <w:rPr>
          <w:rFonts w:hint="eastAsia" w:ascii="Times New Roman" w:hAnsi="Times New Roman" w:eastAsia="方正大标宋简体" w:cs="Times New Roman"/>
          <w:sz w:val="28"/>
          <w:lang w:val="en-US" w:eastAsia="zh-CN"/>
        </w:rPr>
        <w:t xml:space="preserve">                                                     </w:t>
      </w:r>
      <w:r>
        <w:rPr>
          <w:rFonts w:ascii="Times New Roman" w:hAnsi="Times New Roman" w:eastAsia="方正大标宋简体" w:cs="Times New Roman"/>
          <w:sz w:val="28"/>
        </w:rPr>
        <w:t>编号：</w:t>
      </w:r>
      <w:r>
        <w:rPr>
          <w:rFonts w:hint="eastAsia" w:ascii="Times New Roman" w:hAnsi="Times New Roman" w:eastAsia="方正大标宋简体" w:cs="Times New Roman"/>
          <w:sz w:val="28"/>
          <w:lang w:val="en-US" w:eastAsia="zh-CN"/>
        </w:rPr>
        <w:t>2024</w:t>
      </w:r>
      <w:r>
        <w:rPr>
          <w:rFonts w:ascii="Times New Roman" w:hAnsi="Times New Roman" w:eastAsia="方正大标宋简体" w:cs="Times New Roman"/>
          <w:sz w:val="28"/>
        </w:rPr>
        <w:t>-</w:t>
      </w:r>
      <w:r>
        <w:rPr>
          <w:rFonts w:hint="eastAsia" w:ascii="Times New Roman" w:hAnsi="Times New Roman" w:eastAsia="方正大标宋简体" w:cs="Times New Roman"/>
          <w:sz w:val="28"/>
          <w:lang w:val="en-US" w:eastAsia="zh-CN"/>
        </w:rPr>
        <w:t>01</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536"/>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会议名称</w:t>
            </w:r>
          </w:p>
        </w:tc>
        <w:tc>
          <w:tcPr>
            <w:tcW w:w="8221" w:type="dxa"/>
            <w:gridSpan w:val="3"/>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宋体" w:hAnsi="宋体" w:eastAsia="宋体" w:cs="宋体"/>
                <w:sz w:val="28"/>
                <w:szCs w:val="28"/>
                <w:lang w:val="en-US" w:eastAsia="zh-CN"/>
              </w:rPr>
            </w:pPr>
            <w:r>
              <w:rPr>
                <w:rFonts w:hint="eastAsia" w:cs="宋体"/>
                <w:sz w:val="28"/>
                <w:szCs w:val="28"/>
                <w:lang w:val="en-US" w:eastAsia="zh-CN"/>
              </w:rPr>
              <w:t>红运驾校1月安全例会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会议主题</w:t>
            </w:r>
          </w:p>
        </w:tc>
        <w:tc>
          <w:tcPr>
            <w:tcW w:w="8221" w:type="dxa"/>
            <w:gridSpan w:val="3"/>
            <w:vAlign w:val="center"/>
          </w:tcPr>
          <w:p>
            <w:pPr>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安全生产、规范训车、年终总结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会议时间</w:t>
            </w:r>
          </w:p>
        </w:tc>
        <w:tc>
          <w:tcPr>
            <w:tcW w:w="4536" w:type="dxa"/>
            <w:vAlign w:val="center"/>
          </w:tcPr>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2024.2.3 下午4：00  </w:t>
            </w:r>
          </w:p>
        </w:tc>
        <w:tc>
          <w:tcPr>
            <w:tcW w:w="1842" w:type="dxa"/>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会议主持人</w:t>
            </w:r>
          </w:p>
        </w:tc>
        <w:tc>
          <w:tcPr>
            <w:tcW w:w="1843" w:type="dxa"/>
            <w:vAlign w:val="center"/>
          </w:tcPr>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谭光舜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会议地点</w:t>
            </w:r>
          </w:p>
        </w:tc>
        <w:tc>
          <w:tcPr>
            <w:tcW w:w="4536" w:type="dxa"/>
            <w:vAlign w:val="center"/>
          </w:tcPr>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红运驾校总校二楼会议室</w:t>
            </w:r>
          </w:p>
        </w:tc>
        <w:tc>
          <w:tcPr>
            <w:tcW w:w="1842" w:type="dxa"/>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会议记录人</w:t>
            </w:r>
          </w:p>
        </w:tc>
        <w:tc>
          <w:tcPr>
            <w:tcW w:w="1843" w:type="dxa"/>
            <w:vAlign w:val="center"/>
          </w:tcPr>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杨利华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555" w:type="dxa"/>
            <w:vAlign w:val="center"/>
          </w:tcPr>
          <w:p>
            <w:pPr>
              <w:jc w:val="center"/>
              <w:rPr>
                <w:rFonts w:ascii="Times New Roman" w:hAnsi="Times New Roman" w:cs="Times New Roman"/>
                <w:b/>
                <w:sz w:val="28"/>
              </w:rPr>
            </w:pPr>
            <w:r>
              <w:rPr>
                <w:rFonts w:hint="eastAsia" w:ascii="黑体" w:hAnsi="黑体" w:eastAsia="黑体" w:cs="黑体"/>
                <w:b/>
                <w:sz w:val="28"/>
              </w:rPr>
              <w:t>参会人员</w:t>
            </w:r>
          </w:p>
        </w:tc>
        <w:tc>
          <w:tcPr>
            <w:tcW w:w="8221" w:type="dxa"/>
            <w:gridSpan w:val="3"/>
            <w:vAlign w:val="center"/>
          </w:tcPr>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领导：</w:t>
            </w:r>
            <w:r>
              <w:rPr>
                <w:rFonts w:hint="eastAsia" w:ascii="宋体" w:hAnsi="宋体" w:eastAsia="宋体" w:cs="宋体"/>
                <w:b/>
                <w:bCs/>
                <w:sz w:val="28"/>
                <w:szCs w:val="28"/>
                <w:lang w:val="en-US" w:eastAsia="zh-CN"/>
              </w:rPr>
              <w:t>谭</w:t>
            </w:r>
            <w:r>
              <w:rPr>
                <w:rFonts w:hint="eastAsia" w:ascii="宋体" w:hAnsi="宋体" w:eastAsia="宋体" w:cs="宋体"/>
                <w:b/>
                <w:bCs/>
                <w:sz w:val="28"/>
                <w:szCs w:val="28"/>
                <w:lang w:eastAsia="zh-CN"/>
              </w:rPr>
              <w:t>光舜</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许宏军</w:t>
            </w:r>
            <w:r>
              <w:rPr>
                <w:rFonts w:hint="eastAsia" w:ascii="宋体" w:hAnsi="宋体" w:eastAsia="宋体" w:cs="宋体"/>
                <w:b/>
                <w:bCs/>
                <w:sz w:val="28"/>
                <w:szCs w:val="28"/>
                <w:lang w:val="en-US" w:eastAsia="zh-CN"/>
              </w:rPr>
              <w:t xml:space="preserve"> 龙传木 苏晓东 </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职工：所有在职员工、教练员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5" w:hRule="atLeast"/>
        </w:trPr>
        <w:tc>
          <w:tcPr>
            <w:tcW w:w="1555" w:type="dxa"/>
            <w:vAlign w:val="center"/>
          </w:tcPr>
          <w:p>
            <w:pPr>
              <w:jc w:val="center"/>
              <w:rPr>
                <w:rFonts w:hint="eastAsia" w:ascii="黑体" w:hAnsi="黑体" w:eastAsia="黑体" w:cs="黑体"/>
                <w:b/>
                <w:sz w:val="28"/>
              </w:rPr>
            </w:pPr>
            <w:r>
              <w:rPr>
                <w:rFonts w:hint="eastAsia" w:ascii="黑体" w:hAnsi="黑体" w:eastAsia="黑体" w:cs="黑体"/>
                <w:b/>
                <w:sz w:val="28"/>
              </w:rPr>
              <w:t>会议</w:t>
            </w:r>
          </w:p>
          <w:p>
            <w:pPr>
              <w:jc w:val="center"/>
              <w:rPr>
                <w:rFonts w:hint="eastAsia" w:ascii="黑体" w:hAnsi="黑体" w:eastAsia="黑体" w:cs="黑体"/>
                <w:b/>
                <w:sz w:val="28"/>
              </w:rPr>
            </w:pPr>
            <w:r>
              <w:rPr>
                <w:rFonts w:hint="eastAsia" w:ascii="黑体" w:hAnsi="黑体" w:eastAsia="黑体" w:cs="黑体"/>
                <w:b/>
                <w:sz w:val="28"/>
              </w:rPr>
              <w:t>主要</w:t>
            </w:r>
          </w:p>
          <w:p>
            <w:pPr>
              <w:jc w:val="center"/>
              <w:rPr>
                <w:rFonts w:ascii="Times New Roman" w:hAnsi="Times New Roman" w:cs="Times New Roman"/>
                <w:b/>
                <w:sz w:val="28"/>
              </w:rPr>
            </w:pPr>
            <w:r>
              <w:rPr>
                <w:rFonts w:hint="eastAsia" w:ascii="黑体" w:hAnsi="黑体" w:eastAsia="黑体" w:cs="黑体"/>
                <w:b/>
                <w:sz w:val="28"/>
              </w:rPr>
              <w:t>内容</w:t>
            </w:r>
          </w:p>
        </w:tc>
        <w:tc>
          <w:tcPr>
            <w:tcW w:w="82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主讲：谭光舜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1、学习习近平总书记对安全生产重要论述；</w:t>
            </w:r>
          </w:p>
          <w:p>
            <w:pPr>
              <w:spacing w:beforeAutospacing="0" w:afterAutospacing="0"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2、学习</w:t>
            </w:r>
            <w:r>
              <w:rPr>
                <w:rFonts w:hint="eastAsia" w:ascii="Times New Roman" w:hAnsi="Times New Roman" w:eastAsia="仿宋_GB2312" w:cs="Times New Roman"/>
                <w:b/>
                <w:bCs/>
                <w:color w:val="auto"/>
                <w:sz w:val="32"/>
                <w:szCs w:val="32"/>
                <w:lang w:val="en-US" w:eastAsia="zh-CN"/>
              </w:rPr>
              <w:t>2024年</w:t>
            </w:r>
            <w:r>
              <w:rPr>
                <w:rFonts w:hint="eastAsia" w:eastAsia="仿宋_GB2312" w:cs="Times New Roman"/>
                <w:b/>
                <w:bCs/>
                <w:color w:val="auto"/>
                <w:sz w:val="32"/>
                <w:szCs w:val="32"/>
                <w:lang w:val="en-US" w:eastAsia="zh-CN"/>
              </w:rPr>
              <w:t>市交通</w:t>
            </w:r>
            <w:r>
              <w:rPr>
                <w:rFonts w:hint="eastAsia" w:ascii="Times New Roman" w:hAnsi="Times New Roman" w:eastAsia="仿宋_GB2312" w:cs="Times New Roman"/>
                <w:b/>
                <w:bCs/>
                <w:color w:val="auto"/>
                <w:sz w:val="32"/>
                <w:szCs w:val="32"/>
                <w:lang w:val="en-US" w:eastAsia="zh-CN"/>
              </w:rPr>
              <w:t>局第一次安委会</w:t>
            </w:r>
            <w:r>
              <w:rPr>
                <w:rFonts w:hint="eastAsia" w:eastAsia="仿宋_GB2312" w:cs="Times New Roman"/>
                <w:b/>
                <w:bCs/>
                <w:color w:val="auto"/>
                <w:sz w:val="32"/>
                <w:szCs w:val="32"/>
                <w:lang w:val="en-US" w:eastAsia="zh-CN"/>
              </w:rPr>
              <w:t>会议文件</w:t>
            </w:r>
            <w:r>
              <w:rPr>
                <w:rFonts w:hint="eastAsia" w:eastAsia="方正仿宋简体" w:cs="Times New Roman"/>
                <w:b/>
                <w:bCs/>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学习道路交通法律法规（中华人民共和国道路交通安全法、中华人民共和国道路交通安全法实施条例、四川省《中华人民共和国道路交通安全法》实施办法、四川省《中华人民共和国道路交通管理条例》实施办法）；</w:t>
            </w:r>
          </w:p>
          <w:p>
            <w:pPr>
              <w:spacing w:beforeAutospacing="0" w:afterAutospacing="0"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4、学习传达南充市交通运输局关于转发《S8成名高速名山服务区“</w:t>
            </w:r>
            <w:r>
              <w:rPr>
                <w:rFonts w:hint="eastAsia" w:ascii="Times New Roman" w:hAnsi="Times New Roman" w:eastAsia="仿宋_GB2312" w:cs="Times New Roman"/>
                <w:b/>
                <w:bCs/>
                <w:color w:val="auto"/>
                <w:sz w:val="32"/>
                <w:szCs w:val="32"/>
                <w:lang w:val="en-US" w:eastAsia="zh-CN"/>
              </w:rPr>
              <w:t>11·7</w:t>
            </w:r>
            <w:r>
              <w:rPr>
                <w:rFonts w:hint="eastAsia" w:ascii="仿宋_GB2312" w:hAnsi="仿宋_GB2312" w:eastAsia="仿宋_GB2312" w:cs="仿宋_GB2312"/>
                <w:b/>
                <w:bCs w:val="0"/>
                <w:sz w:val="32"/>
                <w:szCs w:val="32"/>
                <w:lang w:val="en-US" w:eastAsia="zh-CN"/>
              </w:rPr>
              <w:t>”一般爆燃事故调查报告》的通知；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5、学习传达川交函〔</w:t>
            </w:r>
            <w:r>
              <w:rPr>
                <w:rFonts w:hint="eastAsia" w:ascii="Times New Roman" w:hAnsi="Times New Roman" w:eastAsia="仿宋_GB2312" w:cs="Times New Roman"/>
                <w:b/>
                <w:bCs/>
                <w:color w:val="auto"/>
                <w:sz w:val="32"/>
                <w:szCs w:val="32"/>
                <w:lang w:val="en-US" w:eastAsia="zh-CN"/>
              </w:rPr>
              <w:t>2023</w:t>
            </w:r>
            <w:r>
              <w:rPr>
                <w:rFonts w:hint="eastAsia" w:ascii="仿宋_GB2312" w:hAnsi="仿宋_GB2312" w:eastAsia="仿宋_GB2312" w:cs="仿宋_GB2312"/>
                <w:b/>
                <w:bCs w:val="0"/>
                <w:sz w:val="32"/>
                <w:szCs w:val="32"/>
                <w:lang w:val="en-US" w:eastAsia="zh-CN"/>
              </w:rPr>
              <w:t>〕</w:t>
            </w:r>
            <w:r>
              <w:rPr>
                <w:rFonts w:hint="eastAsia" w:ascii="Times New Roman" w:hAnsi="Times New Roman" w:eastAsia="仿宋_GB2312" w:cs="Times New Roman"/>
                <w:b/>
                <w:bCs/>
                <w:color w:val="auto"/>
                <w:sz w:val="32"/>
                <w:szCs w:val="32"/>
                <w:lang w:val="en-US" w:eastAsia="zh-CN"/>
              </w:rPr>
              <w:t>552</w:t>
            </w:r>
            <w:r>
              <w:rPr>
                <w:rFonts w:hint="eastAsia" w:ascii="仿宋_GB2312" w:hAnsi="仿宋_GB2312" w:eastAsia="仿宋_GB2312" w:cs="仿宋_GB2312"/>
                <w:b/>
                <w:bCs w:val="0"/>
                <w:sz w:val="32"/>
                <w:szCs w:val="32"/>
                <w:lang w:val="en-US" w:eastAsia="zh-CN"/>
              </w:rPr>
              <w:t>号文件，四川省交通运输厅关于进一步加强当前道路运输安全生产工作的通知；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6、学习传达生产安全事故罚款处罚规定（应急管理部14号令）；</w:t>
            </w:r>
          </w:p>
          <w:p>
            <w:pPr>
              <w:pStyle w:val="7"/>
              <w:numPr>
                <w:ilvl w:val="0"/>
                <w:numId w:val="0"/>
              </w:numPr>
              <w:rPr>
                <w:rFonts w:hint="eastAsia" w:ascii="宋体" w:hAnsi="宋体" w:eastAsia="宋体" w:cs="宋体"/>
                <w:b/>
                <w:bCs/>
                <w:sz w:val="28"/>
                <w:szCs w:val="28"/>
                <w:lang w:val="en-US" w:eastAsia="zh-CN"/>
              </w:rPr>
            </w:pP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7、加强学习有关安全知识，时刻牢固树立安全意识，掌握安全防范常识及措施，确保安全。</w:t>
            </w: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8、驾校每个月的安全例会每个教练员必须都要参加，对不参加的教练员进行处罚。</w:t>
            </w: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9、教练训练时要坚持车辆三检，定期对车辆检修，发现隐患及时上报并排除车辆安全隐患，保证车辆优良安全技术状况。</w:t>
            </w: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10、教练员要规范训车，确保学员安全。教练员要随车教学，科目二教学车后座不坐学员，科目三只能在规定路段训车。</w:t>
            </w: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11、要经常对场地设施进行安全检查，及时排除安全隐患，确保场地设施安全可靠。</w:t>
            </w:r>
          </w:p>
          <w:p>
            <w:pPr>
              <w:pStyle w:val="7"/>
              <w:numPr>
                <w:numId w:val="0"/>
              </w:numPr>
              <w:ind w:left="420"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w:t>
            </w:r>
            <w:bookmarkStart w:id="0" w:name="_GoBack"/>
            <w:bookmarkEnd w:id="0"/>
            <w:r>
              <w:rPr>
                <w:rFonts w:hint="eastAsia" w:ascii="宋体" w:hAnsi="宋体" w:eastAsia="宋体" w:cs="宋体"/>
                <w:b/>
                <w:bCs/>
                <w:sz w:val="28"/>
                <w:szCs w:val="28"/>
                <w:lang w:val="en-US" w:eastAsia="zh-CN"/>
              </w:rPr>
              <w:t>在新的一年里努力做好服务工作，在很大程度上要靠大家齐心协力，把各自的工作做到最好，一心一意为学员服务。</w:t>
            </w:r>
          </w:p>
          <w:p>
            <w:pPr>
              <w:pStyle w:val="7"/>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主讲：许宏军</w:t>
            </w:r>
          </w:p>
          <w:p>
            <w:pPr>
              <w:pStyle w:val="7"/>
              <w:numPr>
                <w:ilvl w:val="0"/>
                <w:numId w:val="0"/>
              </w:num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1.艺高为师，德高为范，要为人师表，首先要不断学习，提高自己的业务能力和综合素养，要用自己高超的技艺和人格魅力来影响感染学员。</w:t>
            </w:r>
          </w:p>
          <w:p>
            <w:pPr>
              <w:pStyle w:val="7"/>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2.禁止任何人乱收学员费用，不得以任何理由收取学员任何费用，不得向学员索要烟酒，严禁向学员借钱借物。</w:t>
            </w:r>
          </w:p>
          <w:p>
            <w:pPr>
              <w:pStyle w:val="7"/>
              <w:numPr>
                <w:ilvl w:val="0"/>
                <w:numId w:val="0"/>
              </w:numPr>
              <w:ind w:firstLine="562"/>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教练员要一视同仁对待每一位学员，不得带情绪训车工作，不得打骂体罚、挖苦讽刺学员，不得侮辱、欺凌异性学员。教练员如有违反上述规定，影响驾校工作和声誉，立即辞退，必要时按照中华人民共和国宪法规定，移交公安机关处理。</w:t>
            </w:r>
          </w:p>
          <w:p>
            <w:pPr>
              <w:pStyle w:val="7"/>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主讲：龙传木</w:t>
            </w:r>
          </w:p>
          <w:p>
            <w:pPr>
              <w:pStyle w:val="7"/>
              <w:numPr>
                <w:ilvl w:val="0"/>
                <w:numId w:val="1"/>
              </w:numPr>
              <w:ind w:left="68" w:leftChars="0" w:firstLine="562"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加强对教练车的管理，定期车检维护，及时购买保险，严禁任何人私自动用教练车，春节放假期间教练车一律停在训练场上，所有车辆严禁上路，一旦被主管部门发现有教练车上路现场扣车。</w:t>
            </w:r>
          </w:p>
          <w:p>
            <w:pPr>
              <w:pStyle w:val="7"/>
              <w:numPr>
                <w:ilvl w:val="0"/>
                <w:numId w:val="1"/>
              </w:numPr>
              <w:ind w:left="68" w:leftChars="0" w:firstLine="562"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教练车的保险，年审按时购买和审核，驾校领导随时检查教练车的保险单，对不买保险的车辆进行停系统处理，二级维护驾校所有车辆都要去做，我们驾校规定二维时间是1月份和7月份。</w:t>
            </w:r>
          </w:p>
          <w:p>
            <w:pPr>
              <w:pStyle w:val="7"/>
              <w:numPr>
                <w:ilvl w:val="0"/>
                <w:numId w:val="1"/>
              </w:numPr>
              <w:ind w:left="68" w:leftChars="0" w:firstLine="562"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最后在这里祝大家新年快乐，龙年年大吉！</w:t>
            </w:r>
          </w:p>
          <w:p>
            <w:pPr>
              <w:pStyle w:val="7"/>
              <w:numPr>
                <w:ilvl w:val="0"/>
                <w:numId w:val="0"/>
              </w:numPr>
              <w:rPr>
                <w:rFonts w:hint="eastAsia" w:ascii="宋体" w:hAnsi="宋体" w:eastAsia="宋体" w:cs="宋体"/>
                <w:b/>
                <w:bCs/>
                <w:sz w:val="28"/>
                <w:szCs w:val="28"/>
                <w:lang w:val="en-US" w:eastAsia="zh-CN"/>
              </w:rPr>
            </w:pPr>
          </w:p>
          <w:p>
            <w:pPr>
              <w:pStyle w:val="7"/>
              <w:numPr>
                <w:ilvl w:val="0"/>
                <w:numId w:val="0"/>
              </w:numPr>
              <w:rPr>
                <w:rFonts w:hint="eastAsia" w:ascii="宋体" w:hAnsi="宋体" w:eastAsia="宋体" w:cs="宋体"/>
                <w:b/>
                <w:bCs/>
                <w:sz w:val="28"/>
                <w:szCs w:val="28"/>
                <w:lang w:val="en-US" w:eastAsia="zh-CN"/>
              </w:rPr>
            </w:pPr>
          </w:p>
          <w:p>
            <w:pPr>
              <w:pStyle w:val="7"/>
              <w:numPr>
                <w:ilvl w:val="0"/>
                <w:numId w:val="0"/>
              </w:numPr>
              <w:ind w:firstLine="562" w:firstLineChars="200"/>
              <w:rPr>
                <w:rFonts w:hint="default"/>
                <w:lang w:val="en-US" w:eastAsia="zh-CN"/>
              </w:rPr>
            </w:pPr>
            <w:r>
              <w:rPr>
                <w:rFonts w:hint="eastAsia" w:ascii="宋体" w:hAnsi="宋体" w:eastAsia="宋体" w:cs="宋体"/>
                <w:b/>
                <w:bCs/>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55" w:type="dxa"/>
            <w:vAlign w:val="center"/>
          </w:tcPr>
          <w:p>
            <w:pPr>
              <w:jc w:val="center"/>
              <w:rPr>
                <w:rFonts w:hint="eastAsia" w:ascii="黑体" w:hAnsi="黑体" w:eastAsia="黑体" w:cs="黑体"/>
                <w:b/>
                <w:sz w:val="28"/>
                <w:lang w:eastAsia="zh-CN"/>
              </w:rPr>
            </w:pPr>
            <w:r>
              <w:rPr>
                <w:rFonts w:hint="eastAsia" w:ascii="黑体" w:hAnsi="黑体" w:eastAsia="黑体" w:cs="黑体"/>
                <w:b/>
                <w:sz w:val="28"/>
                <w:lang w:eastAsia="zh-CN"/>
              </w:rPr>
              <w:t>备注</w:t>
            </w:r>
          </w:p>
        </w:tc>
        <w:tc>
          <w:tcPr>
            <w:tcW w:w="8221" w:type="dxa"/>
            <w:gridSpan w:val="3"/>
            <w:vAlign w:val="center"/>
          </w:tcPr>
          <w:p>
            <w:pPr>
              <w:ind w:firstLine="562" w:firstLineChars="200"/>
              <w:rPr>
                <w:rFonts w:hint="eastAsia" w:ascii="宋体" w:hAnsi="宋体" w:eastAsia="宋体" w:cs="宋体"/>
                <w:b/>
                <w:bCs/>
                <w:sz w:val="28"/>
                <w:szCs w:val="28"/>
                <w:lang w:val="en-US" w:eastAsia="zh-CN"/>
              </w:rPr>
            </w:pP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jc w:val="both"/>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drawing>
          <wp:inline distT="0" distB="0" distL="114300" distR="114300">
            <wp:extent cx="6176645" cy="4051300"/>
            <wp:effectExtent l="0" t="0" r="14605" b="6350"/>
            <wp:docPr id="2" name="图片 2" descr="70e2004f612a2ee16a7e573232a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e2004f612a2ee16a7e573232a2728"/>
                    <pic:cNvPicPr>
                      <a:picLocks noChangeAspect="1"/>
                    </pic:cNvPicPr>
                  </pic:nvPicPr>
                  <pic:blipFill>
                    <a:blip r:embed="rId4"/>
                    <a:stretch>
                      <a:fillRect/>
                    </a:stretch>
                  </pic:blipFill>
                  <pic:spPr>
                    <a:xfrm>
                      <a:off x="0" y="0"/>
                      <a:ext cx="6176645" cy="4051300"/>
                    </a:xfrm>
                    <a:prstGeom prst="rect">
                      <a:avLst/>
                    </a:prstGeom>
                  </pic:spPr>
                </pic:pic>
              </a:graphicData>
            </a:graphic>
          </wp:inline>
        </w:drawing>
      </w:r>
      <w:r>
        <w:rPr>
          <w:rFonts w:hint="eastAsia" w:ascii="Times New Roman" w:hAnsi="Times New Roman" w:cs="Times New Roman"/>
          <w:lang w:val="en-US" w:eastAsia="zh-CN"/>
        </w:rPr>
        <w:drawing>
          <wp:inline distT="0" distB="0" distL="114300" distR="114300">
            <wp:extent cx="6187440" cy="4640580"/>
            <wp:effectExtent l="0" t="0" r="3810" b="7620"/>
            <wp:docPr id="4" name="图片 4" descr="0e51130e736357fb6477da7fe1dc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51130e736357fb6477da7fe1dcbc7"/>
                    <pic:cNvPicPr>
                      <a:picLocks noChangeAspect="1"/>
                    </pic:cNvPicPr>
                  </pic:nvPicPr>
                  <pic:blipFill>
                    <a:blip r:embed="rId5"/>
                    <a:stretch>
                      <a:fillRect/>
                    </a:stretch>
                  </pic:blipFill>
                  <pic:spPr>
                    <a:xfrm>
                      <a:off x="0" y="0"/>
                      <a:ext cx="6187440" cy="4640580"/>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B6A20-B499-40B6-9586-83B9682744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大标宋简体">
    <w:panose1 w:val="02000000000000000000"/>
    <w:charset w:val="86"/>
    <w:family w:val="script"/>
    <w:pitch w:val="default"/>
    <w:sig w:usb0="A00002BF" w:usb1="184F6CFA" w:usb2="00000012" w:usb3="00000000" w:csb0="00040001" w:csb1="00000000"/>
    <w:embedRegular r:id="rId2" w:fontKey="{56F519CB-6DB6-4144-9A74-03F6C7134F38}"/>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embedRegular r:id="rId3" w:fontKey="{767C0C0B-17CA-4BBB-9143-0A68CC57B765}"/>
  </w:font>
  <w:font w:name="方正仿宋简体">
    <w:altName w:val="微软雅黑"/>
    <w:panose1 w:val="02010601030101010101"/>
    <w:charset w:val="86"/>
    <w:family w:val="script"/>
    <w:pitch w:val="default"/>
    <w:sig w:usb0="00000000" w:usb1="00000000" w:usb2="00000000" w:usb3="00000000" w:csb0="00040000" w:csb1="00000000"/>
    <w:embedRegular r:id="rId4" w:fontKey="{AE2DA34C-7CC1-4AEE-8FC3-0A0F5702131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60C5"/>
    <w:multiLevelType w:val="singleLevel"/>
    <w:tmpl w:val="18E560C5"/>
    <w:lvl w:ilvl="0" w:tentative="0">
      <w:start w:val="1"/>
      <w:numFmt w:val="decimal"/>
      <w:suff w:val="nothing"/>
      <w:lvlText w:val="%1、"/>
      <w:lvlJc w:val="left"/>
      <w:pPr>
        <w:ind w:left="-35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DEsImhkaWQiOiIzNzgwYjJlMTJmMjRiZjZlZTZhOTRjYjVhMTI3MDIzMiIsInVzZXJDb3VudCI6MX0="/>
  </w:docVars>
  <w:rsids>
    <w:rsidRoot w:val="7DF803B1"/>
    <w:rsid w:val="00036326"/>
    <w:rsid w:val="000853F3"/>
    <w:rsid w:val="001A2A24"/>
    <w:rsid w:val="00667076"/>
    <w:rsid w:val="00A214BC"/>
    <w:rsid w:val="00AB48A3"/>
    <w:rsid w:val="00C16F81"/>
    <w:rsid w:val="00EE6C10"/>
    <w:rsid w:val="036E0D76"/>
    <w:rsid w:val="03923034"/>
    <w:rsid w:val="05667896"/>
    <w:rsid w:val="0AA738C7"/>
    <w:rsid w:val="0FA53818"/>
    <w:rsid w:val="12D90D1D"/>
    <w:rsid w:val="16D51AC3"/>
    <w:rsid w:val="17EE050A"/>
    <w:rsid w:val="18DB79D7"/>
    <w:rsid w:val="1B1C02E6"/>
    <w:rsid w:val="1E5A441D"/>
    <w:rsid w:val="1E713025"/>
    <w:rsid w:val="211F13FD"/>
    <w:rsid w:val="214E48EF"/>
    <w:rsid w:val="21E76C5A"/>
    <w:rsid w:val="22344593"/>
    <w:rsid w:val="22546A8E"/>
    <w:rsid w:val="28591840"/>
    <w:rsid w:val="289B725A"/>
    <w:rsid w:val="2BEE0681"/>
    <w:rsid w:val="2CCF7C72"/>
    <w:rsid w:val="315C6E28"/>
    <w:rsid w:val="33144D2A"/>
    <w:rsid w:val="34120C85"/>
    <w:rsid w:val="3630579B"/>
    <w:rsid w:val="36770294"/>
    <w:rsid w:val="37BF1123"/>
    <w:rsid w:val="420A49D7"/>
    <w:rsid w:val="42580471"/>
    <w:rsid w:val="48084421"/>
    <w:rsid w:val="49A856B1"/>
    <w:rsid w:val="4D3B0F86"/>
    <w:rsid w:val="4DBE15B0"/>
    <w:rsid w:val="4DD600CF"/>
    <w:rsid w:val="5334526E"/>
    <w:rsid w:val="55043BFB"/>
    <w:rsid w:val="564B5CB7"/>
    <w:rsid w:val="5EE6187A"/>
    <w:rsid w:val="61DF308D"/>
    <w:rsid w:val="61E00610"/>
    <w:rsid w:val="625260D7"/>
    <w:rsid w:val="6FA5513C"/>
    <w:rsid w:val="6FF15DFA"/>
    <w:rsid w:val="73237C8C"/>
    <w:rsid w:val="73FB1931"/>
    <w:rsid w:val="77513458"/>
    <w:rsid w:val="7BC4248C"/>
    <w:rsid w:val="7C7E1B71"/>
    <w:rsid w:val="7D1D49F2"/>
    <w:rsid w:val="7DF8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99"/>
    <w:pPr>
      <w:ind w:firstLine="420" w:firstLineChars="200"/>
    </w:pPr>
  </w:style>
  <w:style w:type="paragraph" w:customStyle="1" w:styleId="3">
    <w:name w:val="BodyTextIndent"/>
    <w:basedOn w:val="1"/>
    <w:autoRedefine/>
    <w:qFormat/>
    <w:uiPriority w:val="99"/>
    <w:pPr>
      <w:spacing w:after="120"/>
      <w:ind w:left="420" w:leftChars="200"/>
    </w:pPr>
  </w:style>
  <w:style w:type="paragraph" w:styleId="5">
    <w:name w:val="Body Text"/>
    <w:basedOn w:val="1"/>
    <w:autoRedefine/>
    <w:qFormat/>
    <w:uiPriority w:val="0"/>
    <w:pPr>
      <w:spacing w:after="120"/>
    </w:pPr>
    <w:rPr>
      <w:rFonts w:ascii="Calibri" w:hAnsi="Calibri" w:eastAsia="宋体"/>
      <w:sz w:val="21"/>
      <w:szCs w:val="22"/>
    </w:rPr>
  </w:style>
  <w:style w:type="paragraph" w:styleId="6">
    <w:name w:val="Body Text Indent"/>
    <w:basedOn w:val="1"/>
    <w:autoRedefine/>
    <w:qFormat/>
    <w:uiPriority w:val="0"/>
    <w:pPr>
      <w:spacing w:after="120" w:afterLines="0" w:afterAutospacing="0"/>
      <w:ind w:left="420" w:leftChars="200"/>
    </w:pPr>
  </w:style>
  <w:style w:type="paragraph" w:styleId="7">
    <w:name w:val="Body Text First Indent 2"/>
    <w:basedOn w:val="6"/>
    <w:qFormat/>
    <w:uiPriority w:val="0"/>
    <w:pPr>
      <w:ind w:firstLine="420" w:firstLineChars="200"/>
    </w:p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17d3015-b11d-43a1-b4ed-6ee005bbe4e5\&#20250;&#35758;&#32426;&#35201;%20&#20250;&#35758;&#35760;&#24405;&#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会议纪要 会议记录表.docx</Template>
  <Pages>4</Pages>
  <Words>841</Words>
  <Characters>864</Characters>
  <Lines>2</Lines>
  <Paragraphs>1</Paragraphs>
  <TotalTime>1</TotalTime>
  <ScaleCrop>false</ScaleCrop>
  <LinksUpToDate>false</LinksUpToDate>
  <CharactersWithSpaces>967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2022-04-21T01:02:00Z</dcterms:created>
  <dc:creator>Miuo18200156675</dc:creator>
  <cp:lastModifiedBy>花相随</cp:lastModifiedBy>
  <cp:lastPrinted>2024-02-23T08:50:11Z</cp:lastPrinted>
  <dcterms:modified xsi:type="dcterms:W3CDTF">2024-02-23T08:50:17Z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UUID">
    <vt:lpwstr>v1.0_mb_BIuWvTpB2vDqyIoZqZdhmQ==</vt:lpwstr>
  </property>
  <property fmtid="{D5CDD505-2E9C-101B-9397-08002B2CF9AE}" pid="4" name="ICV">
    <vt:lpwstr>E458B631B37A45FA8D8F069DEAC01FF0_13</vt:lpwstr>
  </property>
</Properties>
</file>