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="黑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b/>
          <w:color w:val="000000"/>
          <w:sz w:val="32"/>
          <w:szCs w:val="32"/>
          <w:lang w:eastAsia="zh-CN"/>
        </w:rPr>
        <w:t>营山兴旺烟花爆竹</w:t>
      </w:r>
      <w:r>
        <w:rPr>
          <w:rFonts w:hint="eastAsia" w:eastAsia="黑体"/>
          <w:b/>
          <w:color w:val="000000"/>
          <w:sz w:val="32"/>
          <w:szCs w:val="32"/>
        </w:rPr>
        <w:t>有限公司安全培训教育计划</w:t>
      </w:r>
      <w:r>
        <w:rPr>
          <w:rFonts w:eastAsia="黑体"/>
          <w:b/>
          <w:color w:val="000000"/>
          <w:sz w:val="32"/>
          <w:szCs w:val="32"/>
        </w:rPr>
        <w:t>表</w:t>
      </w:r>
      <w:r>
        <w:rPr>
          <w:rFonts w:hint="eastAsia" w:eastAsia="黑体"/>
          <w:b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登记号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:YSX</w:t>
      </w:r>
    </w:p>
    <w:tbl>
      <w:tblPr>
        <w:tblStyle w:val="3"/>
        <w:tblpPr w:leftFromText="180" w:rightFromText="180" w:vertAnchor="text" w:horzAnchor="page" w:tblpXSpec="center" w:tblpY="706"/>
        <w:tblOverlap w:val="never"/>
        <w:tblW w:w="14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1170"/>
        <w:gridCol w:w="5961"/>
        <w:gridCol w:w="1394"/>
        <w:gridCol w:w="1526"/>
        <w:gridCol w:w="961"/>
        <w:gridCol w:w="1190"/>
        <w:gridCol w:w="1165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培训时间</w:t>
            </w: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培训相关内容</w:t>
            </w: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参加人员</w:t>
            </w: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主讲人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培训方式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培训地点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学时（小时）</w:t>
            </w:r>
          </w:p>
        </w:tc>
        <w:tc>
          <w:tcPr>
            <w:tcW w:w="1130" w:type="dxa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培训类型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>2月上旬</w:t>
            </w:r>
          </w:p>
        </w:tc>
        <w:tc>
          <w:tcPr>
            <w:tcW w:w="59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法律法规相关文件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全体职工</w:t>
            </w: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龚晓林、唐兵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授课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>公司办公室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>8学时</w:t>
            </w: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再教育培训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_GB2312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ind w:firstLine="361" w:firstLineChars="200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theme="minorBidi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6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181" w:firstLineChars="100"/>
              <w:jc w:val="both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80" w:lineRule="exact"/>
              <w:ind w:firstLine="361" w:firstLineChars="20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60" w:type="dxa"/>
            <w:gridSpan w:val="9"/>
            <w:vAlign w:val="center"/>
          </w:tcPr>
          <w:p>
            <w:pPr>
              <w:spacing w:line="240" w:lineRule="auto"/>
              <w:ind w:firstLine="542" w:firstLineChars="300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编制人：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唐兵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 xml:space="preserve">            　　　  　　　　　　　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　　 审核：　　　　　　　　　　　　　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　批准人：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龚晓林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860" w:type="dxa"/>
            <w:gridSpan w:val="9"/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一般是内部从业人员的三级教育、轮岗教育、四新教育、日常安全教育和外部培训计划，外部培训有关信息不能详细填写，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  <w:lang w:eastAsia="zh-CN"/>
              </w:rPr>
              <w:t>培训时间填大概信息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18"/>
                <w:szCs w:val="18"/>
              </w:rPr>
              <w:t>。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2023一季度</w:t>
      </w:r>
      <w:r>
        <w:rPr>
          <w:rFonts w:hint="eastAsia"/>
          <w:lang w:eastAsia="zh-CN"/>
        </w:rPr>
        <w:t>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DFkNTVhYmQxM2IxNDIwNTdlMjQ2ZTY2MTFhOTEifQ=="/>
  </w:docVars>
  <w:rsids>
    <w:rsidRoot w:val="6D9019C4"/>
    <w:rsid w:val="6D90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2023-04-17T08:15:00Z</dcterms:created>
  <dc:creator>Administrator</dc:creator>
  <cp:lastModifiedBy>Administrator</cp:lastModifiedBy>
  <dcterms:modified xsi:type="dcterms:W3CDTF">2023-04-17T08:17:16Z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C8CC1E6E7D38408B974E8B4440716286</vt:lpwstr>
  </property>
</Properties>
</file>