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ind w:leftChars="0"/>
        <w:jc w:val="center"/>
        <w:rPr>
          <w:rFonts w:ascii="楷体_GB2312" w:eastAsia="楷体_GB2312"/>
        </w:rPr>
      </w:pPr>
      <w:bookmarkStart w:id="0" w:name="_GoBack"/>
      <w:bookmarkEnd w:id="0"/>
      <w:r>
        <w:rPr>
          <w:rFonts w:hint="eastAsia" w:ascii="楷体_GB2312" w:eastAsia="楷体_GB2312"/>
        </w:rPr>
        <w:t>地下矿山专项安全检查工作清单</w:t>
      </w:r>
    </w:p>
    <w:p>
      <w:pPr>
        <w:spacing w:line="340" w:lineRule="exact"/>
        <w:jc w:val="center"/>
        <w:rPr>
          <w:rFonts w:ascii="黑体" w:hAnsi="黑体" w:eastAsia="黑体"/>
          <w:sz w:val="24"/>
        </w:rPr>
      </w:pPr>
    </w:p>
    <w:tbl>
      <w:tblPr>
        <w:tblStyle w:val="12"/>
        <w:tblW w:w="14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313"/>
        <w:gridCol w:w="2297"/>
        <w:gridCol w:w="9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tblHeader/>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序号</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检查项目</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检查清单</w:t>
            </w:r>
          </w:p>
        </w:tc>
        <w:tc>
          <w:tcPr>
            <w:tcW w:w="9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ascii="黑体" w:hAnsi="黑体" w:eastAsia="黑体"/>
                <w:sz w:val="24"/>
              </w:rPr>
              <w:t>检查要求或依据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6-</w:t>
            </w:r>
            <w:r>
              <w:rPr>
                <w:rFonts w:hint="eastAsia" w:ascii="黑体" w:hAnsi="黑体" w:eastAsia="黑体"/>
                <w:sz w:val="24"/>
              </w:rPr>
              <w:t>3</w:t>
            </w:r>
            <w:r>
              <w:rPr>
                <w:rFonts w:ascii="黑体" w:hAnsi="黑体" w:eastAsia="黑体"/>
                <w:sz w:val="24"/>
              </w:rPr>
              <w:t>-1</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安全设施设计</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有批准的安全设施设计，现场与设计相符。</w:t>
            </w:r>
          </w:p>
          <w:p>
            <w:pPr>
              <w:spacing w:line="320" w:lineRule="exact"/>
              <w:rPr>
                <w:rFonts w:ascii="仿宋_GB2312" w:eastAsia="仿宋_GB2312"/>
                <w:sz w:val="24"/>
              </w:rPr>
            </w:pPr>
            <w:r>
              <w:rPr>
                <w:rFonts w:ascii="黑体" w:hAnsi="黑体" w:eastAsia="黑体"/>
                <w:b/>
                <w:sz w:val="24"/>
              </w:rPr>
              <w:t>……</w:t>
            </w:r>
          </w:p>
        </w:tc>
        <w:tc>
          <w:tcPr>
            <w:tcW w:w="9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 xml:space="preserve">《金属非金属矿山安全规程》（GB </w:t>
            </w:r>
            <w:r>
              <w:rPr>
                <w:rFonts w:hint="eastAsia" w:eastAsia="仿宋_GB2312"/>
                <w:sz w:val="24"/>
              </w:rPr>
              <w:t> </w:t>
            </w:r>
            <w:r>
              <w:rPr>
                <w:rFonts w:hint="eastAsia" w:ascii="仿宋_GB2312" w:eastAsia="仿宋_GB2312"/>
                <w:sz w:val="24"/>
              </w:rPr>
              <w:t>16423-2020）4.6.3矿山企业的新建、改建、扩建工程，应经过安全条件论证及安全、职业危害评价。新建、改建、扩建工程的安全设施，应与主体工程同时设计、同时施工、同时投入生产和使用。安全设施投资，应纳入工程概算。</w:t>
            </w:r>
          </w:p>
          <w:p>
            <w:pPr>
              <w:spacing w:line="320" w:lineRule="exact"/>
              <w:rPr>
                <w:rFonts w:ascii="仿宋_GB2312" w:eastAsia="仿宋_GB2312"/>
                <w:sz w:val="24"/>
              </w:rPr>
            </w:pPr>
            <w:r>
              <w:rPr>
                <w:rFonts w:ascii="黑体" w:hAnsi="黑体" w:eastAsia="黑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6-</w:t>
            </w:r>
            <w:r>
              <w:rPr>
                <w:rFonts w:hint="eastAsia" w:ascii="黑体" w:hAnsi="黑体" w:eastAsia="黑体"/>
                <w:sz w:val="24"/>
              </w:rPr>
              <w:t>3</w:t>
            </w:r>
            <w:r>
              <w:rPr>
                <w:rFonts w:ascii="黑体" w:hAnsi="黑体" w:eastAsia="黑体"/>
                <w:sz w:val="24"/>
              </w:rPr>
              <w:t>-2</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通风系统</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sz w:val="24"/>
              </w:rPr>
            </w:pPr>
            <w:r>
              <w:rPr>
                <w:rFonts w:hint="eastAsia" w:ascii="仿宋_GB2312" w:eastAsia="仿宋_GB2312"/>
                <w:sz w:val="24"/>
              </w:rPr>
              <w:t>采用机械通风，风质、风量符合要求。</w:t>
            </w:r>
          </w:p>
          <w:p>
            <w:pPr>
              <w:spacing w:line="320" w:lineRule="exact"/>
              <w:rPr>
                <w:rFonts w:ascii="仿宋_GB2312" w:eastAsia="仿宋_GB2312"/>
                <w:sz w:val="24"/>
              </w:rPr>
            </w:pPr>
            <w:r>
              <w:rPr>
                <w:rFonts w:ascii="黑体" w:hAnsi="黑体" w:eastAsia="黑体"/>
                <w:b/>
                <w:sz w:val="24"/>
              </w:rPr>
              <w:t>……</w:t>
            </w:r>
          </w:p>
        </w:tc>
        <w:tc>
          <w:tcPr>
            <w:tcW w:w="9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sz w:val="24"/>
              </w:rPr>
            </w:pPr>
            <w:r>
              <w:rPr>
                <w:rFonts w:hint="eastAsia" w:ascii="仿宋_GB2312" w:eastAsia="仿宋_GB2312"/>
                <w:sz w:val="24"/>
              </w:rPr>
              <w:t>《金属非金属矿山安全规程》（GB16423-2020）规定：</w:t>
            </w:r>
          </w:p>
          <w:p>
            <w:pPr>
              <w:spacing w:line="320" w:lineRule="exact"/>
              <w:rPr>
                <w:rFonts w:ascii="仿宋_GB2312" w:eastAsia="仿宋_GB2312"/>
                <w:sz w:val="24"/>
              </w:rPr>
            </w:pPr>
            <w:r>
              <w:rPr>
                <w:rFonts w:hint="eastAsia" w:ascii="仿宋_GB2312" w:eastAsia="仿宋_GB2312"/>
                <w:sz w:val="24"/>
              </w:rPr>
              <w:t xml:space="preserve">    1.矿井应采用机械通风。设有在线监测系统的矿山应根据监测结果及时调整通风系统；未设置在线监测系统的矿山每年应对通风系统进行一次检测，并根据检测结果及时调整通风系统。</w:t>
            </w:r>
          </w:p>
          <w:p>
            <w:pPr>
              <w:spacing w:line="320" w:lineRule="exact"/>
              <w:ind w:firstLine="480" w:firstLineChars="200"/>
              <w:rPr>
                <w:rFonts w:ascii="仿宋_GB2312" w:eastAsia="仿宋_GB2312"/>
                <w:sz w:val="24"/>
              </w:rPr>
            </w:pPr>
            <w:r>
              <w:rPr>
                <w:rFonts w:hint="eastAsia" w:ascii="仿宋_GB2312" w:eastAsia="仿宋_GB2312"/>
                <w:sz w:val="24"/>
              </w:rPr>
              <w:t>2.矿井应及时更新通风系统图。通风系统图应标明通风设备、风量、风流方向、通风构筑物、与通风系统隔离的区域等</w:t>
            </w:r>
          </w:p>
          <w:p>
            <w:pPr>
              <w:spacing w:line="320" w:lineRule="exact"/>
              <w:ind w:firstLine="480" w:firstLineChars="200"/>
              <w:rPr>
                <w:rFonts w:ascii="仿宋_GB2312" w:eastAsia="仿宋_GB2312"/>
                <w:sz w:val="24"/>
              </w:rPr>
            </w:pPr>
            <w:r>
              <w:rPr>
                <w:rFonts w:hint="eastAsia" w:ascii="仿宋_GB2312" w:eastAsia="仿宋_GB2312"/>
                <w:sz w:val="24"/>
              </w:rPr>
              <w:t>3.主要进风巷和回风巷应经常维护，不应堆放材料和设备，应保持清洁和风流畅通。</w:t>
            </w:r>
          </w:p>
          <w:p>
            <w:pPr>
              <w:spacing w:line="320" w:lineRule="exact"/>
              <w:ind w:firstLine="480" w:firstLineChars="200"/>
              <w:rPr>
                <w:rFonts w:ascii="仿宋_GB2312" w:eastAsia="仿宋_GB2312"/>
                <w:sz w:val="24"/>
              </w:rPr>
            </w:pPr>
            <w:r>
              <w:rPr>
                <w:rFonts w:hint="eastAsia" w:ascii="仿宋_GB2312" w:eastAsia="仿宋_GB2312"/>
                <w:sz w:val="24"/>
              </w:rPr>
              <w:t>4.矿井排除的污风不应对矿区环境造成危害。</w:t>
            </w:r>
          </w:p>
          <w:p>
            <w:pPr>
              <w:spacing w:line="320" w:lineRule="exact"/>
              <w:ind w:firstLine="480" w:firstLineChars="200"/>
              <w:rPr>
                <w:rFonts w:ascii="仿宋_GB2312" w:eastAsia="仿宋_GB2312"/>
                <w:sz w:val="24"/>
              </w:rPr>
            </w:pPr>
            <w:r>
              <w:rPr>
                <w:rFonts w:hint="eastAsia" w:ascii="仿宋_GB2312" w:eastAsia="仿宋_GB2312"/>
                <w:sz w:val="24"/>
              </w:rPr>
              <w:t>5.正常生产情况下主通风机应连续运转，满足井下生产所需风量。当主通风机发生故障或需要 停机检</w:t>
            </w:r>
            <w:r>
              <w:rPr>
                <w:rFonts w:hint="eastAsia" w:ascii="仿宋_GB2312" w:eastAsia="仿宋"/>
                <w:sz w:val="24"/>
              </w:rPr>
              <w:t>査</w:t>
            </w:r>
            <w:r>
              <w:rPr>
                <w:rFonts w:hint="eastAsia" w:ascii="仿宋_GB2312" w:eastAsia="仿宋_GB2312"/>
                <w:sz w:val="24"/>
              </w:rPr>
              <w:t>时，应立即向调度室和矿山企业主要负责人报告，并</w:t>
            </w:r>
            <w:r>
              <w:rPr>
                <w:rFonts w:hint="eastAsia" w:ascii="仿宋_GB2312" w:eastAsia="仿宋"/>
                <w:sz w:val="24"/>
              </w:rPr>
              <w:t>釆</w:t>
            </w:r>
            <w:r>
              <w:rPr>
                <w:rFonts w:hint="eastAsia" w:ascii="仿宋_GB2312" w:eastAsia="仿宋_GB2312"/>
                <w:sz w:val="24"/>
              </w:rPr>
              <w:t>取必要措施。</w:t>
            </w:r>
          </w:p>
          <w:p>
            <w:pPr>
              <w:spacing w:line="320" w:lineRule="exact"/>
              <w:ind w:firstLine="480" w:firstLineChars="200"/>
              <w:rPr>
                <w:rFonts w:ascii="仿宋_GB2312" w:eastAsia="仿宋_GB2312"/>
                <w:sz w:val="24"/>
              </w:rPr>
            </w:pPr>
            <w:r>
              <w:rPr>
                <w:rFonts w:hint="eastAsia" w:ascii="仿宋_GB2312" w:eastAsia="仿宋_GB2312"/>
                <w:sz w:val="24"/>
              </w:rPr>
              <w:t>6.主通风设施应能使矿井风流在10 min内反向，反风量不小于正常运转时风量的60%。采用多 级机站通风的矿山，主通风系统的每台通风机都应满足反风要求，以保证整个系统可以反风。</w:t>
            </w:r>
          </w:p>
          <w:p>
            <w:pPr>
              <w:spacing w:line="320" w:lineRule="exact"/>
              <w:ind w:firstLine="480" w:firstLineChars="200"/>
              <w:rPr>
                <w:rFonts w:ascii="仿宋_GB2312" w:eastAsia="仿宋_GB2312"/>
                <w:sz w:val="24"/>
              </w:rPr>
            </w:pPr>
            <w:r>
              <w:rPr>
                <w:rFonts w:hint="eastAsia" w:ascii="仿宋_GB2312" w:eastAsia="仿宋_GB2312"/>
                <w:sz w:val="24"/>
              </w:rPr>
              <w:t>7.每年应至少进行1次反风试验，并测定主要风路的风量。</w:t>
            </w:r>
          </w:p>
          <w:p>
            <w:pPr>
              <w:spacing w:line="320" w:lineRule="exact"/>
              <w:ind w:firstLine="480" w:firstLineChars="200"/>
              <w:rPr>
                <w:rFonts w:ascii="仿宋_GB2312" w:eastAsia="仿宋_GB2312"/>
                <w:sz w:val="24"/>
              </w:rPr>
            </w:pPr>
            <w:r>
              <w:rPr>
                <w:rFonts w:hint="eastAsia" w:ascii="仿宋_GB2312" w:eastAsia="仿宋_GB2312"/>
                <w:sz w:val="24"/>
              </w:rPr>
              <w:t>8.局部通风应</w:t>
            </w:r>
            <w:r>
              <w:rPr>
                <w:rFonts w:hint="eastAsia" w:ascii="仿宋_GB2312" w:eastAsia="仿宋"/>
                <w:sz w:val="24"/>
              </w:rPr>
              <w:t>釆</w:t>
            </w:r>
            <w:r>
              <w:rPr>
                <w:rFonts w:hint="eastAsia" w:ascii="仿宋_GB2312" w:eastAsia="仿宋_GB2312"/>
                <w:sz w:val="24"/>
              </w:rPr>
              <w:t>用阻燃风筒，风筒口与工作面的距离:压入式通风不应超过10 m；抽出式通风不 应超过5 m；混合式通风，压入风筒的出口不应超过10 m,抽出风筒入口应滞后压入风筒出口 5 m 以上。</w:t>
            </w:r>
          </w:p>
          <w:p>
            <w:pPr>
              <w:spacing w:line="320" w:lineRule="exact"/>
              <w:ind w:firstLine="480" w:firstLineChars="200"/>
              <w:rPr>
                <w:rFonts w:ascii="仿宋_GB2312" w:eastAsia="仿宋_GB2312"/>
                <w:sz w:val="24"/>
              </w:rPr>
            </w:pPr>
            <w:r>
              <w:rPr>
                <w:rFonts w:hint="eastAsia" w:ascii="仿宋_GB2312" w:eastAsia="仿宋_GB2312"/>
                <w:sz w:val="24"/>
              </w:rPr>
              <w:t>9.停止作业且无贯穿风流的采场、独头巷道,应设栅栏和警示标志，防止人员进入。重新进入前， 应进行通风并检测空气成分,确认安全后方准进入。</w:t>
            </w:r>
          </w:p>
          <w:p>
            <w:pPr>
              <w:spacing w:line="320" w:lineRule="exact"/>
              <w:rPr>
                <w:rFonts w:ascii="仿宋_GB2312" w:eastAsia="仿宋_GB2312"/>
                <w:sz w:val="24"/>
              </w:rPr>
            </w:pPr>
            <w:r>
              <w:rPr>
                <w:rFonts w:hint="eastAsia" w:ascii="仿宋_GB2312" w:eastAsia="仿宋_GB2312"/>
                <w:sz w:val="24"/>
              </w:rPr>
              <w:t xml:space="preserve">《金属非金属矿山安全规程》（GB16423-2020）、《金属非金属地下矿山通风技术规范通风系统》（AQ </w:t>
            </w:r>
            <w:r>
              <w:rPr>
                <w:rFonts w:hint="eastAsia" w:eastAsia="仿宋_GB2312"/>
                <w:sz w:val="24"/>
              </w:rPr>
              <w:t> </w:t>
            </w:r>
            <w:r>
              <w:rPr>
                <w:rFonts w:hint="eastAsia" w:ascii="仿宋_GB2312" w:eastAsia="仿宋_GB2312"/>
                <w:sz w:val="24"/>
              </w:rPr>
              <w:t xml:space="preserve">2013.1-2008）、《金属非金属地下矿山通风技术规范通风系统鉴定指标》（AQ </w:t>
            </w:r>
            <w:r>
              <w:rPr>
                <w:rFonts w:hint="eastAsia" w:eastAsia="仿宋_GB2312"/>
                <w:sz w:val="24"/>
              </w:rPr>
              <w:t> </w:t>
            </w:r>
            <w:r>
              <w:rPr>
                <w:rFonts w:hint="eastAsia" w:ascii="仿宋_GB2312" w:eastAsia="仿宋_GB2312"/>
                <w:sz w:val="24"/>
              </w:rPr>
              <w:t>2013.5-2008）对矿井中作业地点的风速、风量、风质做出了明确的要求。</w:t>
            </w:r>
          </w:p>
          <w:p>
            <w:pPr>
              <w:spacing w:line="320" w:lineRule="exact"/>
              <w:rPr>
                <w:rFonts w:ascii="仿宋_GB2312" w:eastAsia="仿宋_GB2312"/>
                <w:sz w:val="24"/>
              </w:rPr>
            </w:pPr>
            <w:r>
              <w:rPr>
                <w:rFonts w:hint="eastAsia" w:ascii="仿宋_GB2312" w:eastAsia="仿宋_GB2312"/>
                <w:sz w:val="24"/>
              </w:rPr>
              <w:t>风速、风量、风质不符合国家或行业标准要求是指有下列情形：</w:t>
            </w:r>
          </w:p>
          <w:p>
            <w:pPr>
              <w:spacing w:line="320" w:lineRule="exact"/>
              <w:ind w:firstLine="480" w:firstLineChars="200"/>
              <w:rPr>
                <w:rFonts w:ascii="仿宋_GB2312" w:eastAsia="仿宋_GB2312"/>
                <w:sz w:val="24"/>
              </w:rPr>
            </w:pPr>
            <w:r>
              <w:rPr>
                <w:rFonts w:hint="eastAsia" w:ascii="仿宋_GB2312" w:eastAsia="仿宋_GB2312"/>
                <w:sz w:val="24"/>
              </w:rPr>
              <w:t>1.风量（风速）合格率低于60%；</w:t>
            </w:r>
          </w:p>
          <w:p>
            <w:pPr>
              <w:spacing w:line="320" w:lineRule="exact"/>
              <w:ind w:firstLine="480" w:firstLineChars="200"/>
              <w:rPr>
                <w:rFonts w:ascii="仿宋_GB2312" w:eastAsia="仿宋_GB2312"/>
                <w:sz w:val="24"/>
              </w:rPr>
            </w:pPr>
            <w:r>
              <w:rPr>
                <w:rFonts w:hint="eastAsia" w:ascii="仿宋_GB2312" w:eastAsia="仿宋_GB2312"/>
                <w:sz w:val="24"/>
              </w:rPr>
              <w:t>2.风质合格率低于90%；</w:t>
            </w:r>
          </w:p>
          <w:p>
            <w:pPr>
              <w:spacing w:line="320" w:lineRule="exact"/>
              <w:ind w:firstLine="480" w:firstLineChars="200"/>
              <w:rPr>
                <w:rFonts w:ascii="仿宋_GB2312" w:eastAsia="仿宋_GB2312"/>
                <w:sz w:val="24"/>
              </w:rPr>
            </w:pPr>
            <w:r>
              <w:rPr>
                <w:rFonts w:hint="eastAsia" w:ascii="仿宋_GB2312" w:eastAsia="仿宋_GB2312"/>
                <w:sz w:val="24"/>
              </w:rPr>
              <w:t>3.作业环境空气质量合格率低于65%；</w:t>
            </w:r>
          </w:p>
          <w:p>
            <w:pPr>
              <w:spacing w:line="320" w:lineRule="exact"/>
              <w:ind w:firstLine="480" w:firstLineChars="200"/>
              <w:rPr>
                <w:rFonts w:ascii="仿宋_GB2312" w:eastAsia="仿宋_GB2312"/>
                <w:sz w:val="24"/>
              </w:rPr>
            </w:pPr>
            <w:r>
              <w:rPr>
                <w:rFonts w:hint="eastAsia" w:ascii="仿宋_GB2312" w:eastAsia="仿宋_GB2312"/>
                <w:sz w:val="24"/>
              </w:rPr>
              <w:t>4.有效风量率低于60%。</w:t>
            </w:r>
          </w:p>
          <w:p>
            <w:pPr>
              <w:spacing w:line="320" w:lineRule="exact"/>
              <w:rPr>
                <w:rFonts w:ascii="仿宋_GB2312" w:eastAsia="仿宋_GB2312"/>
                <w:sz w:val="24"/>
              </w:rPr>
            </w:pPr>
            <w:r>
              <w:rPr>
                <w:rFonts w:ascii="黑体" w:hAnsi="黑体"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6-</w:t>
            </w:r>
            <w:r>
              <w:rPr>
                <w:rFonts w:hint="eastAsia" w:ascii="黑体" w:hAnsi="黑体" w:eastAsia="黑体"/>
                <w:sz w:val="24"/>
              </w:rPr>
              <w:t>3</w:t>
            </w:r>
            <w:r>
              <w:rPr>
                <w:rFonts w:ascii="黑体" w:hAnsi="黑体" w:eastAsia="黑体"/>
                <w:sz w:val="24"/>
              </w:rPr>
              <w:t>-3</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sz w:val="24"/>
              </w:rPr>
            </w:pPr>
            <w:r>
              <w:rPr>
                <w:rFonts w:ascii="黑体" w:hAnsi="黑体" w:eastAsia="黑体"/>
                <w:sz w:val="24"/>
              </w:rPr>
              <w:t>多种气体报警仪和自救器配备</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20" w:lineRule="exact"/>
              <w:rPr>
                <w:rFonts w:ascii="仿宋_GB2312" w:eastAsia="仿宋_GB2312"/>
                <w:sz w:val="24"/>
              </w:rPr>
            </w:pPr>
            <w:r>
              <w:rPr>
                <w:rFonts w:hint="eastAsia" w:ascii="仿宋_GB2312" w:eastAsia="仿宋_GB2312"/>
                <w:sz w:val="24"/>
              </w:rPr>
              <w:t>自救器的配备；</w:t>
            </w:r>
          </w:p>
          <w:p>
            <w:pPr>
              <w:numPr>
                <w:ilvl w:val="0"/>
                <w:numId w:val="2"/>
              </w:numPr>
              <w:spacing w:line="320" w:lineRule="exact"/>
              <w:rPr>
                <w:rFonts w:ascii="仿宋_GB2312" w:eastAsia="仿宋_GB2312"/>
                <w:sz w:val="24"/>
              </w:rPr>
            </w:pPr>
            <w:r>
              <w:rPr>
                <w:rFonts w:hint="eastAsia" w:ascii="仿宋_GB2312" w:eastAsia="仿宋_GB2312"/>
                <w:sz w:val="24"/>
              </w:rPr>
              <w:t>配置足够的便携式气体检测报警仪，便携式气体检测报警仪应能测量一氧化碳、氧气、二氧化氮浓度，并具有报警参数设置和声光报警功能。</w:t>
            </w:r>
          </w:p>
          <w:p>
            <w:pPr>
              <w:numPr>
                <w:ilvl w:val="0"/>
                <w:numId w:val="2"/>
              </w:numPr>
              <w:spacing w:line="320" w:lineRule="exact"/>
              <w:rPr>
                <w:rFonts w:ascii="仿宋_GB2312" w:eastAsia="仿宋_GB2312"/>
                <w:sz w:val="24"/>
              </w:rPr>
            </w:pPr>
            <w:r>
              <w:rPr>
                <w:rFonts w:hint="eastAsia" w:ascii="仿宋_GB2312" w:eastAsia="仿宋_GB2312"/>
                <w:sz w:val="24"/>
              </w:rPr>
              <w:t>……</w:t>
            </w:r>
          </w:p>
        </w:tc>
        <w:tc>
          <w:tcPr>
            <w:tcW w:w="9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1.《金属非金属地下矿山紧急避险系统建设规范》(AQ 2033-2011)第4.1条、4.4条和4.5条对自救器的配备有如下的规定：“（1）应为入井人员配备额定防护时间不少于30min的自救器，并按入井总人数的10%配备备用自救器。（2）所有入井人员必须随身携带自救器。”</w:t>
            </w:r>
          </w:p>
          <w:p>
            <w:pPr>
              <w:spacing w:line="320" w:lineRule="exact"/>
              <w:ind w:firstLine="480" w:firstLineChars="200"/>
              <w:rPr>
                <w:rFonts w:ascii="仿宋_GB2312" w:eastAsia="仿宋_GB2312"/>
                <w:sz w:val="24"/>
              </w:rPr>
            </w:pPr>
            <w:r>
              <w:rPr>
                <w:rFonts w:hint="eastAsia" w:ascii="仿宋_GB2312" w:eastAsia="仿宋_GB2312"/>
                <w:sz w:val="24"/>
              </w:rPr>
              <w:t xml:space="preserve">2.《金属非金属地下矿山监测监控系统建设规范》（AQ 2031-2011）第4.11条和《金属非金属地下矿山紧急避险系统建设规范》(AQ </w:t>
            </w:r>
            <w:r>
              <w:rPr>
                <w:rFonts w:hint="eastAsia" w:eastAsia="仿宋_GB2312"/>
                <w:sz w:val="24"/>
              </w:rPr>
              <w:t> </w:t>
            </w:r>
            <w:r>
              <w:rPr>
                <w:rFonts w:hint="eastAsia" w:ascii="仿宋_GB2312" w:eastAsia="仿宋_GB2312"/>
                <w:sz w:val="24"/>
              </w:rPr>
              <w:t>2033-2011)第4.8条分别规定，便携式气体检测报警仪和自救器应具有矿用产品安全标志。</w:t>
            </w:r>
          </w:p>
          <w:p>
            <w:pPr>
              <w:spacing w:line="320" w:lineRule="exac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ascii="黑体" w:hAnsi="黑体" w:eastAsia="黑体"/>
                <w:sz w:val="24"/>
              </w:rPr>
              <w:t>6-</w:t>
            </w:r>
            <w:r>
              <w:rPr>
                <w:rFonts w:hint="eastAsia" w:ascii="黑体" w:hAnsi="黑体" w:eastAsia="黑体"/>
                <w:sz w:val="24"/>
              </w:rPr>
              <w:t>3</w:t>
            </w:r>
            <w:r>
              <w:rPr>
                <w:rFonts w:ascii="黑体" w:hAnsi="黑体" w:eastAsia="黑体"/>
                <w:sz w:val="24"/>
              </w:rPr>
              <w:t>-4</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ascii="黑体" w:hAnsi="黑体" w:eastAsia="黑体"/>
                <w:sz w:val="24"/>
              </w:rPr>
              <w:t>巷道或采场支护</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20" w:lineRule="exact"/>
              <w:rPr>
                <w:rFonts w:ascii="仿宋_GB2312" w:eastAsia="仿宋_GB2312"/>
                <w:sz w:val="24"/>
              </w:rPr>
            </w:pPr>
            <w:r>
              <w:rPr>
                <w:rFonts w:hint="eastAsia" w:ascii="仿宋_GB2312" w:eastAsia="仿宋_GB2312"/>
                <w:sz w:val="24"/>
              </w:rPr>
              <w:t>在不稳固的岩层中掘进井巷，应进行支护；</w:t>
            </w:r>
          </w:p>
          <w:p>
            <w:pPr>
              <w:numPr>
                <w:ilvl w:val="0"/>
                <w:numId w:val="3"/>
              </w:numPr>
              <w:spacing w:line="320" w:lineRule="exact"/>
              <w:rPr>
                <w:rFonts w:ascii="仿宋_GB2312" w:eastAsia="仿宋_GB2312"/>
                <w:sz w:val="24"/>
              </w:rPr>
            </w:pPr>
            <w:r>
              <w:rPr>
                <w:rFonts w:hint="eastAsia" w:ascii="仿宋_GB2312" w:eastAsia="仿宋_GB2312"/>
                <w:sz w:val="24"/>
              </w:rPr>
              <w:t>支护方法、支护与工作面间的距离，应在施工设计中规定；</w:t>
            </w:r>
          </w:p>
          <w:p>
            <w:pPr>
              <w:spacing w:line="320" w:lineRule="exact"/>
              <w:rPr>
                <w:rFonts w:ascii="仿宋_GB2312" w:eastAsia="仿宋_GB2312"/>
                <w:sz w:val="24"/>
              </w:rPr>
            </w:pPr>
            <w:r>
              <w:rPr>
                <w:rFonts w:hint="eastAsia" w:ascii="仿宋_GB2312" w:eastAsia="仿宋_GB2312"/>
                <w:sz w:val="24"/>
              </w:rPr>
              <w:t>……</w:t>
            </w:r>
          </w:p>
        </w:tc>
        <w:tc>
          <w:tcPr>
            <w:tcW w:w="9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1.巷道或者采场顶板未按设计采取支护措施易导致巷道或采场顶板因支护形式不当或强度不够而引发冒顶片帮事故，造成人员伤亡。</w:t>
            </w:r>
          </w:p>
          <w:p>
            <w:pPr>
              <w:spacing w:line="320" w:lineRule="exact"/>
              <w:ind w:firstLine="480" w:firstLineChars="200"/>
              <w:rPr>
                <w:rFonts w:ascii="仿宋_GB2312" w:eastAsia="仿宋_GB2312"/>
                <w:sz w:val="24"/>
              </w:rPr>
            </w:pPr>
            <w:r>
              <w:rPr>
                <w:rFonts w:hint="eastAsia" w:ascii="仿宋_GB2312" w:eastAsia="仿宋_GB2312"/>
                <w:sz w:val="24"/>
              </w:rPr>
              <w:t>2.《金属非金属矿山安全规程》（GB16423-2020）第6.2.7.1条和6.2.7.2对回采工作面、采准和切割巷道有如下规定：“不应用木材或者其他可燃材料作永久支护；在不稳定的岩层中掘进时应进行支护，在松软、破碎或流沙地层中掘进时应在永久性支护与掘进工作面之间进行临时支护或特殊支护；”因爆破或其他原因而受破坏的支护，应及时修复，确认安全后方准作业。”</w:t>
            </w:r>
          </w:p>
          <w:p>
            <w:pPr>
              <w:spacing w:line="320" w:lineRule="exac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ascii="黑体" w:hAnsi="黑体" w:eastAsia="黑体"/>
                <w:sz w:val="24"/>
              </w:rPr>
              <w:t>6-</w:t>
            </w:r>
            <w:r>
              <w:rPr>
                <w:rFonts w:hint="eastAsia" w:ascii="黑体" w:hAnsi="黑体" w:eastAsia="黑体"/>
                <w:sz w:val="24"/>
              </w:rPr>
              <w:t>3</w:t>
            </w:r>
            <w:r>
              <w:rPr>
                <w:rFonts w:ascii="黑体" w:hAnsi="黑体" w:eastAsia="黑体"/>
                <w:sz w:val="24"/>
              </w:rPr>
              <w:t>-5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ascii="黑体" w:hAnsi="黑体" w:eastAsia="黑体"/>
                <w:sz w:val="24"/>
              </w:rPr>
              <w:t>采空区处理</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sz w:val="24"/>
              </w:rPr>
            </w:pPr>
            <w:r>
              <w:rPr>
                <w:rFonts w:hint="eastAsia" w:ascii="仿宋_GB2312" w:eastAsia="仿宋_GB2312"/>
                <w:sz w:val="24"/>
              </w:rPr>
              <w:t>按照设计要求对生产形成的采空区进行处理。</w:t>
            </w:r>
          </w:p>
          <w:p>
            <w:pPr>
              <w:spacing w:line="320" w:lineRule="exact"/>
              <w:rPr>
                <w:rFonts w:ascii="仿宋_GB2312" w:eastAsia="仿宋_GB2312"/>
                <w:sz w:val="24"/>
              </w:rPr>
            </w:pPr>
            <w:r>
              <w:rPr>
                <w:rFonts w:hint="eastAsia" w:ascii="仿宋_GB2312" w:eastAsia="仿宋_GB2312"/>
                <w:sz w:val="24"/>
              </w:rPr>
              <w:t>……</w:t>
            </w:r>
          </w:p>
        </w:tc>
        <w:tc>
          <w:tcPr>
            <w:tcW w:w="9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sz w:val="24"/>
              </w:rPr>
            </w:pPr>
            <w:r>
              <w:rPr>
                <w:rFonts w:hint="eastAsia" w:ascii="仿宋_GB2312" w:eastAsia="仿宋_GB2312"/>
                <w:sz w:val="24"/>
              </w:rPr>
              <w:t>采空区不及时进行处理，可能会导致顶板大面积冒落，产生巨大的空气冲击波，严重时还易造成地表塌陷，导致严重的人员伤亡和重大财产损失。采空区的处理通常采用充填、隔离、强制崩落围岩等措施进行处理采空区。</w:t>
            </w:r>
          </w:p>
          <w:p>
            <w:pPr>
              <w:spacing w:line="320" w:lineRule="exact"/>
              <w:rPr>
                <w:rFonts w:ascii="仿宋_GB2312" w:eastAsia="仿宋_GB2312"/>
                <w:sz w:val="24"/>
              </w:rPr>
            </w:pPr>
            <w:r>
              <w:rPr>
                <w:rFonts w:hint="eastAsia" w:ascii="仿宋_GB2312" w:eastAsia="仿宋_GB2312"/>
                <w:sz w:val="24"/>
              </w:rPr>
              <w:t>根据不同围岩状况，巷道或采场的采空区处理需要在作业规程或施工设计中明确。</w:t>
            </w:r>
          </w:p>
          <w:p>
            <w:pPr>
              <w:spacing w:line="320" w:lineRule="exac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仿宋_GB2312"/>
                <w:sz w:val="24"/>
              </w:rPr>
              <w:t>……</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仿宋_GB2312"/>
                <w:sz w:val="24"/>
              </w:rPr>
              <w:t>……</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仿宋"/>
                <w:sz w:val="24"/>
              </w:rPr>
            </w:pPr>
            <w:r>
              <w:rPr>
                <w:rFonts w:eastAsia="仿宋_GB2312"/>
                <w:sz w:val="24"/>
              </w:rPr>
              <w:t>……</w:t>
            </w:r>
          </w:p>
        </w:tc>
        <w:tc>
          <w:tcPr>
            <w:tcW w:w="9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0000000" w:usb3="00000000" w:csb0="2000019F" w:csb1="00000000"/>
  </w:font>
  <w:font w:name="楷体_GB2312">
    <w:altName w:val="汉仪楷体简"/>
    <w:panose1 w:val="02010609030101010101"/>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48738"/>
    <w:multiLevelType w:val="singleLevel"/>
    <w:tmpl w:val="AF348738"/>
    <w:lvl w:ilvl="0" w:tentative="0">
      <w:start w:val="1"/>
      <w:numFmt w:val="decimal"/>
      <w:lvlText w:val="%1."/>
      <w:lvlJc w:val="left"/>
      <w:pPr>
        <w:tabs>
          <w:tab w:val="left" w:pos="312"/>
        </w:tabs>
      </w:pPr>
    </w:lvl>
  </w:abstractNum>
  <w:abstractNum w:abstractNumId="1">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5F4EC356"/>
    <w:multiLevelType w:val="singleLevel"/>
    <w:tmpl w:val="5F4EC35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1D44B03"/>
    <w:rsid w:val="093277A9"/>
    <w:rsid w:val="0C00517C"/>
    <w:rsid w:val="0DEA1EA6"/>
    <w:rsid w:val="1BD80837"/>
    <w:rsid w:val="1C7F2A05"/>
    <w:rsid w:val="1D222E46"/>
    <w:rsid w:val="24425AAB"/>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1D44B03"/>
    <w:rsid w:val="64463C6F"/>
    <w:rsid w:val="683141CC"/>
    <w:rsid w:val="68456707"/>
    <w:rsid w:val="6A5A6A40"/>
    <w:rsid w:val="6AEB5704"/>
    <w:rsid w:val="6DCE27EC"/>
    <w:rsid w:val="6E486122"/>
    <w:rsid w:val="70390390"/>
    <w:rsid w:val="BCE5B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2023-03-01T17:54:00Z</dcterms:created>
  <dc:creator>孙瑞</dc:creator>
  <cp:lastModifiedBy>WPS_1513130633</cp:lastModifiedBy>
  <dcterms:modified xsi:type="dcterms:W3CDTF">2023-03-03T09:52:29Z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41E55CD51D3F43518ABDB09147F7F4C5</vt:lpwstr>
  </property>
</Properties>
</file>