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ind w:left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风险辨识管控清单参考模板（2.0版）</w:t>
      </w:r>
    </w:p>
    <w:tbl>
      <w:tblPr>
        <w:tblStyle w:val="12"/>
        <w:tblW w:w="145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477"/>
        <w:gridCol w:w="526"/>
        <w:gridCol w:w="709"/>
        <w:gridCol w:w="2488"/>
        <w:gridCol w:w="1417"/>
        <w:gridCol w:w="3596"/>
        <w:gridCol w:w="851"/>
        <w:gridCol w:w="3781"/>
      </w:tblGrid>
      <w:tr>
        <w:trPr>
          <w:trHeight w:val="64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名称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风险等级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风险分级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危险源辨识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可能导致的后果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管控措施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管控责任人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隐患排查治理</w:t>
            </w:r>
          </w:p>
        </w:tc>
      </w:tr>
      <w:tr>
        <w:trPr>
          <w:trHeight w:val="137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通风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0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重大风险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60" w:firstLineChars="15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未按照设计要求建立机械通风系统，或风速、风量、风质不符合国家标准或行业标准的要求。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中毒和窒息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1.采用机械通风。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2.井下空气符合《金属非金属矿山安全规程》第6·6·1条规定。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82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支护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0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重大风险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未按照设计要求采取支护措施。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冒顶片帮物体打击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.严格按设计施工。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2.严格控制顶板暴露面积。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3.按设计支护，顶板破碎时应当采用加强支护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4.严格遵守岗位安全操作规程。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主要负责人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82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防排水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7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1.未探明水文地质情况。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2.排水系统不畅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透水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1.严格落实探放水管理制度，坚持“有疑必探先探后掘”的原则。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2.经常检查排水系统，确保排水系统通畅。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82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爆破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作业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7964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1.火工产品不符合要求。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2.火工产品存放运输。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3.爆破作业未按规定操作。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4.杂散电流引起误起爆。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5.边打眼边装药。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放炮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1.选择安全性能好的起爆器材（如：非电起爆系统，数码雷管等）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2.严禁野蛮装卸，严禁抛掷火工产品。按规定操作搬运、装卸、存放。</w:t>
            </w: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炸药、雷管入箱，双锁钥匙分别由班组长、爆破员保管。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3.按规定操作，班前检查有无残眼，炮眼与残眼的间距不低于300mm标定炮眼位置，且打平行炮眼。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4.减少接头，并用绝缘胶带包扎。不能和导电体同侧悬挂，穿防静电服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</w:t>
            </w:r>
            <w:r>
              <w:rPr>
                <w:rStyle w:val="14"/>
                <w:rFonts w:hint="default" w:ascii="仿宋_GB2312" w:hAnsi="Times New Roman" w:eastAsia="仿宋_GB2312" w:cs="Times New Roman"/>
                <w:color w:val="auto"/>
                <w:sz w:val="24"/>
                <w:szCs w:val="24"/>
              </w:rPr>
              <w:t>待炮眼全部打完，方可装药。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82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凿岩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7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1.空帮、空顶作业。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2.浮石、悬矸清理不彻底。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冒顶片帮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1.严格执行顶板分级管控制度，严格按照作业规程要求进行施工。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2.严格落实敲帮问顶管理制度。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826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应急避险六大系统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007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1.六大系统设置不完善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2.六大系统维护管理不到位。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其他伤害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1.严格按照《金属非金属矿山安全规程》要求完善六大系统。</w:t>
            </w:r>
          </w:p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2.定期组织检查维护六大系统，确保能正常使用。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9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7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铲装运输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1.车辆制动系统、声光报警系统、转向系统等操作系统失灵。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2.超载、超限、超速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车辆伤害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1.严格遵守岗位安全操作规程。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2.作业人员经教育培训合格。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3.及时维护保养。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4.严格交接班。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9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8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供配电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一般风险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1.线路绝缘性能下降、老化。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2.线路过载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3.未装设过电流保护、漏电保护、短路保护装置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4.接地线不规范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触电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1.禁止使用不合格产品。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2.定期组织专业技术人员检查线路，及时维护、消除隐患。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3.严格按照规范、标准安装电气线路保护装置。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4.严格按照《金属非金属矿山安全规程》第6·7·6保护接地要求布置接地线。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2.严格按照“计划、布置、检查、总结、评比”五落实原则开展隐患排查治理。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19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9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井下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消防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低风险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1.灭火器泄压、失效。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2.消防设施不完善。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火灾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1.禁止使用不合格的消防器材。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2.定期检查消防设施、及时消除隐患。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3.动火地点严格落实防火安全措施，严格执行动火审批许可。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687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4-</w:t>
            </w:r>
            <w:r>
              <w:rPr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提升系统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重大风险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1.提升系统的防坠器、阻车器等安全保护装置或信号闭锁措施失效；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2.未定期试验或检测检验。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高空坠落</w:t>
            </w:r>
          </w:p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机械伤害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1.人员持证上岗。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2.严禁超员、超载。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3.设置防跑车装置、过卷缓冲装置、罐笼防坠装置、稳罐装置、连锁装置、报警装置、信号装置、悬挂装置、制动装置、传动装置、调绳装置、连接装置、尾绳隔离装置。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4.定期检测检验。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jc w:val="left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5.开展安全检查，及时消除安全隐患。</w:t>
            </w:r>
          </w:p>
          <w:p>
            <w:pPr>
              <w:widowControl/>
              <w:spacing w:line="320" w:lineRule="exact"/>
              <w:ind w:firstLine="480" w:firstLineChars="200"/>
              <w:contextualSpacing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......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1.严格按照责任、措施、资金、时限和预案“五落实”形成闭环管理。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2.严格按照“计划、布置、检查、总结、评比”五落实原则开展隐患排查治理。</w:t>
            </w:r>
          </w:p>
          <w:p>
            <w:pPr>
              <w:spacing w:line="320" w:lineRule="exact"/>
              <w:ind w:firstLine="480" w:firstLineChars="20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</w:tr>
      <w:tr>
        <w:trPr>
          <w:trHeight w:val="39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......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......</w:t>
            </w:r>
          </w:p>
        </w:tc>
        <w:tc>
          <w:tcPr>
            <w:tcW w:w="3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contextualSpacing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Style w:val="14"/>
                <w:rFonts w:hint="default" w:ascii="仿宋_GB2312" w:hAnsi="Times New Roman" w:eastAsia="仿宋_GB2312" w:cs="Times New Roman"/>
                <w:b/>
                <w:color w:val="auto"/>
                <w:sz w:val="24"/>
                <w:szCs w:val="24"/>
              </w:rPr>
              <w:t>......</w:t>
            </w:r>
          </w:p>
        </w:tc>
      </w:tr>
    </w:tbl>
    <w:p>
      <w:pPr>
        <w:widowControl/>
        <w:spacing w:line="320" w:lineRule="exact"/>
        <w:contextualSpacing/>
        <w:jc w:val="left"/>
        <w:textAlignment w:val="center"/>
        <w:rPr>
          <w:rFonts w:eastAsia="仿宋_GB2312"/>
          <w:kern w:val="0"/>
          <w:sz w:val="24"/>
        </w:rPr>
      </w:pPr>
      <w:r>
        <w:rPr>
          <w:rFonts w:eastAsia="仿宋_GB2312"/>
          <w:bCs/>
          <w:kern w:val="0"/>
          <w:sz w:val="24"/>
        </w:rPr>
        <w:t>说明：风险分级</w:t>
      </w:r>
      <w:r>
        <w:rPr>
          <w:rFonts w:eastAsia="仿宋_GB2312"/>
          <w:kern w:val="0"/>
          <w:sz w:val="24"/>
        </w:rPr>
        <w:t>是指</w:t>
      </w:r>
      <w:r>
        <w:rPr>
          <w:rFonts w:eastAsia="仿宋_GB2312"/>
          <w:b/>
          <w:kern w:val="0"/>
          <w:sz w:val="24"/>
          <w:shd w:val="clear" w:color="auto" w:fill="FF0000"/>
        </w:rPr>
        <w:t>重大风险</w:t>
      </w:r>
      <w:r>
        <w:rPr>
          <w:rFonts w:eastAsia="仿宋_GB2312"/>
          <w:kern w:val="0"/>
          <w:sz w:val="24"/>
        </w:rPr>
        <w:t>、</w:t>
      </w:r>
      <w:r>
        <w:rPr>
          <w:rFonts w:eastAsia="仿宋_GB2312"/>
          <w:kern w:val="0"/>
          <w:sz w:val="24"/>
          <w:shd w:val="clear" w:color="auto" w:fill="E36C0A"/>
        </w:rPr>
        <w:t>较大风险</w:t>
      </w:r>
      <w:r>
        <w:rPr>
          <w:rFonts w:eastAsia="仿宋_GB2312"/>
          <w:kern w:val="0"/>
          <w:sz w:val="24"/>
        </w:rPr>
        <w:t>、</w:t>
      </w:r>
      <w:r>
        <w:rPr>
          <w:rFonts w:eastAsia="仿宋_GB2312"/>
          <w:kern w:val="0"/>
          <w:sz w:val="24"/>
          <w:shd w:val="clear" w:color="auto" w:fill="FFFF00"/>
        </w:rPr>
        <w:t>一般风险</w:t>
      </w:r>
      <w:r>
        <w:rPr>
          <w:rFonts w:eastAsia="仿宋_GB2312"/>
          <w:kern w:val="0"/>
          <w:sz w:val="24"/>
        </w:rPr>
        <w:t>和</w:t>
      </w:r>
      <w:r>
        <w:rPr>
          <w:rFonts w:eastAsia="仿宋_GB2312"/>
          <w:kern w:val="0"/>
          <w:sz w:val="24"/>
          <w:shd w:val="clear" w:color="auto" w:fill="00B0F0"/>
        </w:rPr>
        <w:t>低风险</w:t>
      </w:r>
      <w:r>
        <w:rPr>
          <w:rFonts w:eastAsia="仿宋_GB2312"/>
          <w:kern w:val="0"/>
          <w:sz w:val="24"/>
        </w:rPr>
        <w:t>，</w:t>
      </w:r>
      <w:r>
        <w:rPr>
          <w:rFonts w:eastAsia="仿宋_GB2312"/>
          <w:bCs/>
          <w:kern w:val="0"/>
          <w:sz w:val="24"/>
        </w:rPr>
        <w:t>分别依次用“</w:t>
      </w:r>
      <w:r>
        <w:rPr>
          <w:rFonts w:eastAsia="仿宋_GB2312"/>
          <w:kern w:val="0"/>
          <w:sz w:val="24"/>
        </w:rPr>
        <w:t>红、橙、黄、蓝</w:t>
      </w:r>
      <w:r>
        <w:rPr>
          <w:rFonts w:eastAsia="仿宋_GB2312"/>
          <w:bCs/>
          <w:kern w:val="0"/>
          <w:sz w:val="24"/>
        </w:rPr>
        <w:t>”标识,依次对应“1、2、3、4”级风险等级、1级为最高（红色）</w:t>
      </w:r>
      <w:r>
        <w:rPr>
          <w:rFonts w:eastAsia="仿宋_GB2312"/>
          <w:kern w:val="0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3917245"/>
    <w:rsid w:val="093277A9"/>
    <w:rsid w:val="0C00517C"/>
    <w:rsid w:val="0DEA1EA6"/>
    <w:rsid w:val="13917245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3FFDED50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2D51220"/>
    <w:rsid w:val="F7FFB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2023-03-01T17:18:00Z</dcterms:created>
  <dc:creator>孙瑞</dc:creator>
  <cp:lastModifiedBy>WPS_1513130633</cp:lastModifiedBy>
  <dcterms:modified xsi:type="dcterms:W3CDTF">2023-03-03T09:48:52Z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C479D08E746F43C49F5FA2FC141641EC</vt:lpwstr>
  </property>
</Properties>
</file>