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sz w:val="44"/>
        </w:rPr>
      </w:pPr>
      <w:r>
        <w:rPr>
          <w:rFonts w:hint="eastAsia" w:eastAsia="方正小标宋简体"/>
          <w:sz w:val="44"/>
          <w:lang w:val="en-US" w:eastAsia="zh-CN"/>
        </w:rPr>
        <w:t>8</w:t>
      </w:r>
      <w:r>
        <w:rPr>
          <w:rFonts w:hint="eastAsia" w:eastAsia="方正小标宋简体"/>
          <w:sz w:val="44"/>
        </w:rPr>
        <w:t>尾矿库外包工程管理清单</w:t>
      </w:r>
      <w:r>
        <w:rPr>
          <w:rFonts w:eastAsia="方正小标宋简体"/>
          <w:sz w:val="44"/>
        </w:rPr>
        <w:t>参考模板</w:t>
      </w:r>
    </w:p>
    <w:tbl>
      <w:tblPr>
        <w:tblStyle w:val="12"/>
        <w:tblW w:w="144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547"/>
        <w:gridCol w:w="8788"/>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0" w:type="dxa"/>
            <w:noWrap/>
            <w:vAlign w:val="center"/>
          </w:tcPr>
          <w:p>
            <w:pPr>
              <w:widowControl/>
              <w:jc w:val="center"/>
              <w:rPr>
                <w:rFonts w:ascii="黑体" w:hAnsi="黑体" w:eastAsia="黑体" w:cs="宋体"/>
                <w:color w:val="000000"/>
                <w:kern w:val="0"/>
                <w:sz w:val="24"/>
                <w:szCs w:val="28"/>
              </w:rPr>
            </w:pPr>
            <w:r>
              <w:rPr>
                <w:rFonts w:hint="eastAsia" w:ascii="黑体" w:hAnsi="黑体" w:eastAsia="黑体" w:cs="宋体"/>
                <w:color w:val="000000"/>
                <w:kern w:val="0"/>
                <w:sz w:val="24"/>
                <w:szCs w:val="28"/>
              </w:rPr>
              <w:t>序号</w:t>
            </w:r>
          </w:p>
        </w:tc>
        <w:tc>
          <w:tcPr>
            <w:tcW w:w="1547" w:type="dxa"/>
            <w:noWrap w:val="0"/>
            <w:vAlign w:val="center"/>
          </w:tcPr>
          <w:p>
            <w:pPr>
              <w:widowControl/>
              <w:jc w:val="center"/>
              <w:rPr>
                <w:rFonts w:hint="eastAsia" w:ascii="黑体" w:hAnsi="黑体" w:eastAsia="黑体" w:cs="宋体"/>
                <w:color w:val="000000"/>
                <w:kern w:val="0"/>
                <w:sz w:val="24"/>
                <w:szCs w:val="28"/>
              </w:rPr>
            </w:pPr>
            <w:r>
              <w:rPr>
                <w:rFonts w:hint="eastAsia" w:ascii="黑体" w:hAnsi="黑体" w:eastAsia="黑体" w:cs="宋体"/>
                <w:color w:val="000000"/>
                <w:kern w:val="0"/>
                <w:sz w:val="24"/>
                <w:szCs w:val="28"/>
              </w:rPr>
              <w:t>排查项目</w:t>
            </w:r>
          </w:p>
        </w:tc>
        <w:tc>
          <w:tcPr>
            <w:tcW w:w="8788" w:type="dxa"/>
            <w:noWrap/>
            <w:vAlign w:val="center"/>
          </w:tcPr>
          <w:p>
            <w:pPr>
              <w:widowControl/>
              <w:jc w:val="center"/>
              <w:rPr>
                <w:rFonts w:hint="eastAsia" w:ascii="黑体" w:hAnsi="黑体" w:eastAsia="黑体" w:cs="宋体"/>
                <w:color w:val="000000"/>
                <w:kern w:val="0"/>
                <w:sz w:val="24"/>
                <w:szCs w:val="28"/>
              </w:rPr>
            </w:pPr>
            <w:r>
              <w:rPr>
                <w:rFonts w:hint="eastAsia" w:ascii="黑体" w:hAnsi="黑体" w:eastAsia="黑体" w:cs="宋体"/>
                <w:color w:val="000000"/>
                <w:kern w:val="0"/>
                <w:sz w:val="24"/>
                <w:szCs w:val="28"/>
              </w:rPr>
              <w:t>排查内容</w:t>
            </w:r>
          </w:p>
        </w:tc>
        <w:tc>
          <w:tcPr>
            <w:tcW w:w="1843" w:type="dxa"/>
            <w:noWrap/>
            <w:vAlign w:val="center"/>
          </w:tcPr>
          <w:p>
            <w:pPr>
              <w:widowControl/>
              <w:jc w:val="center"/>
              <w:rPr>
                <w:rFonts w:hint="eastAsia" w:ascii="黑体" w:hAnsi="黑体" w:eastAsia="黑体" w:cs="宋体"/>
                <w:color w:val="000000"/>
                <w:kern w:val="0"/>
                <w:sz w:val="24"/>
                <w:szCs w:val="28"/>
              </w:rPr>
            </w:pPr>
            <w:r>
              <w:rPr>
                <w:rFonts w:hint="eastAsia" w:ascii="黑体" w:hAnsi="黑体" w:eastAsia="黑体" w:cs="宋体"/>
                <w:color w:val="000000"/>
                <w:kern w:val="0"/>
                <w:sz w:val="24"/>
                <w:szCs w:val="28"/>
              </w:rPr>
              <w:t>排查结果</w:t>
            </w:r>
          </w:p>
        </w:tc>
        <w:tc>
          <w:tcPr>
            <w:tcW w:w="1276" w:type="dxa"/>
            <w:noWrap/>
            <w:vAlign w:val="center"/>
          </w:tcPr>
          <w:p>
            <w:pPr>
              <w:widowControl/>
              <w:jc w:val="center"/>
              <w:rPr>
                <w:rFonts w:hint="eastAsia" w:ascii="黑体" w:hAnsi="黑体" w:eastAsia="黑体" w:cs="宋体"/>
                <w:color w:val="000000"/>
                <w:kern w:val="0"/>
                <w:sz w:val="24"/>
                <w:szCs w:val="28"/>
              </w:rPr>
            </w:pPr>
            <w:r>
              <w:rPr>
                <w:rFonts w:hint="eastAsia" w:ascii="黑体" w:hAnsi="黑体" w:eastAsia="黑体" w:cs="宋体"/>
                <w:color w:val="000000"/>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8-1</w:t>
            </w:r>
          </w:p>
        </w:tc>
        <w:tc>
          <w:tcPr>
            <w:tcW w:w="1547" w:type="dxa"/>
            <w:vMerge w:val="restart"/>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准入管理</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审查外包单位营业执照、施工资质、安全生产许可证、专业技术能力评估、特种作业、安全管理人员资质、近三年安全业绩等。</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8-2</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承办商是否为施工人员购买安全生产责任保险或其他保险。</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8-3</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入场前外包单位是否提供员工体检报告。</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8-4</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承包单位是否对员工开展入场前安全教育培训及考试合格。</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8-5</w:t>
            </w:r>
          </w:p>
        </w:tc>
        <w:tc>
          <w:tcPr>
            <w:tcW w:w="1547" w:type="dxa"/>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安全协议签订</w:t>
            </w:r>
          </w:p>
        </w:tc>
        <w:tc>
          <w:tcPr>
            <w:tcW w:w="8788" w:type="dxa"/>
            <w:noWrap w:val="0"/>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是否签订HSE管理协议，协议内容是否符合《非煤矿山外包工程安全管理暂行办法》（国家安监总局令第62号）。</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8-6</w:t>
            </w:r>
          </w:p>
        </w:tc>
        <w:tc>
          <w:tcPr>
            <w:tcW w:w="1547" w:type="dxa"/>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安全技术交底</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与外包单位开展安全技术交底，主要包含以下内容：向承包单位提供承包工程项目的工作现场及毗邻区域的供水、供电、通信及地质、水文等相关资料，对作业范围、工艺流程特点、危险因素、应急处置建议、安全生产责任、安全管理基本要求等事项做出明确说明，并经双方签字确认后存档。</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8-7</w:t>
            </w:r>
          </w:p>
        </w:tc>
        <w:tc>
          <w:tcPr>
            <w:tcW w:w="1547" w:type="dxa"/>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安全教育</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 xml:space="preserve">发包单位是否对外包单位员工进行全员入场安全教育培训及考试合格。 </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8-8</w:t>
            </w:r>
          </w:p>
        </w:tc>
        <w:tc>
          <w:tcPr>
            <w:tcW w:w="1547" w:type="dxa"/>
            <w:vMerge w:val="restart"/>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日常监管</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外包单位是否定期开展隐患排查治理。</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8-9</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外包单位是否针对危险作业制定安全措施并经发包单位审核。危险作业包含：爆破、吊装、动火、钻探、高空、进入受限空间等危险作业，或者在可能发生火灾、爆炸、触电、高处坠落、中毒窒息、机械伤害、烧烫伤等事故的危险场所进行作业。</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8-10</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针对危险性较大或易发生事故的作业，外包单位是否制定安全生产应急救援预案，配备必要的应急处置装备，作业时是否事先通知周边可能受到意外伤害的单位和人员，做好安全防护工作。</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8-11</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安全设施配备是否齐全、有效。</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8-12</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作业环境是否安全。</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8-13</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作业许可和能量隔离执行是否到位。</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8-14</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人员劳动保护用品配备是否到位。</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8-15</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是否使用国家明令禁止使用的设备、材料和工艺的现象。</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8-16</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倒卖、出租、出借、挂靠或者以其他形式非法转让施工资质，是否将其承包的全部建设工程转包给第三人或者将其承包的全部建设工程支解以后以分包的名义分别转包给第三人，是否将工程分包给不具备相应资质条件的单位。</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8-17</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两个以上生产经营单位在同一区域内进行生产经营活动，可能危及对方生产安全的，是否签订安全生产管理协议，明确各自的安全生产管理职责和应当采取的安全措施，并指定专职的安全生产管理人员进行安全检查和协调。</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8-18</w:t>
            </w:r>
          </w:p>
        </w:tc>
        <w:tc>
          <w:tcPr>
            <w:tcW w:w="1547" w:type="dxa"/>
            <w:vMerge w:val="restart"/>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评估考核</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是否对外包单位的日常工作表现进行评估考核。</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8-19</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是否对外包单位进行年度综合考评，淘汰不合格外包单位。</w:t>
            </w:r>
          </w:p>
        </w:tc>
        <w:tc>
          <w:tcPr>
            <w:tcW w:w="1843"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19FF480F"/>
    <w:rsid w:val="093277A9"/>
    <w:rsid w:val="0C00517C"/>
    <w:rsid w:val="0DEA1EA6"/>
    <w:rsid w:val="19FF480F"/>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2023-03-03T03:38:00Z</dcterms:created>
  <dc:creator>孙瑞</dc:creator>
  <cp:lastModifiedBy>孙瑞</cp:lastModifiedBy>
  <dcterms:modified xsi:type="dcterms:W3CDTF">2023-03-03T03:38:27Z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B675B29C8D4E44098E997EC3FBE60B6C</vt:lpwstr>
  </property>
</Properties>
</file>