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sz w:val="36"/>
          <w:szCs w:val="36"/>
        </w:rPr>
        <w:t>尾矿库风险辨识管控清单参考模板</w:t>
      </w:r>
    </w:p>
    <w:tbl>
      <w:tblPr>
        <w:tblStyle w:val="12"/>
        <w:tblW w:w="13887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600"/>
        <w:gridCol w:w="2196"/>
        <w:gridCol w:w="7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36"/>
              </w:rPr>
            </w:pPr>
            <w:r>
              <w:rPr>
                <w:rFonts w:hint="eastAsia" w:ascii="黑体" w:hAnsi="黑体" w:eastAsia="黑体"/>
                <w:sz w:val="24"/>
                <w:szCs w:val="36"/>
              </w:rPr>
              <w:t>序号</w:t>
            </w:r>
          </w:p>
        </w:tc>
        <w:tc>
          <w:tcPr>
            <w:tcW w:w="263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36"/>
              </w:rPr>
            </w:pPr>
            <w:r>
              <w:rPr>
                <w:rFonts w:hint="eastAsia" w:ascii="黑体" w:hAnsi="黑体" w:eastAsia="黑体"/>
                <w:sz w:val="24"/>
                <w:szCs w:val="36"/>
              </w:rPr>
              <w:t>风险点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36"/>
              </w:rPr>
            </w:pPr>
            <w:r>
              <w:rPr>
                <w:rFonts w:hint="eastAsia" w:ascii="黑体" w:hAnsi="黑体" w:eastAsia="黑体"/>
                <w:sz w:val="24"/>
                <w:szCs w:val="36"/>
              </w:rPr>
              <w:t>风险等级</w:t>
            </w:r>
          </w:p>
        </w:tc>
        <w:tc>
          <w:tcPr>
            <w:tcW w:w="804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36"/>
              </w:rPr>
            </w:pPr>
            <w:r>
              <w:rPr>
                <w:rFonts w:hint="eastAsia" w:ascii="黑体" w:hAnsi="黑体" w:eastAsia="黑体"/>
                <w:sz w:val="24"/>
                <w:szCs w:val="36"/>
              </w:rPr>
              <w:t>管控措施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4-1</w:t>
            </w:r>
          </w:p>
        </w:tc>
        <w:tc>
          <w:tcPr>
            <w:tcW w:w="26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放矿作业</w:t>
            </w:r>
          </w:p>
        </w:tc>
        <w:tc>
          <w:tcPr>
            <w:tcW w:w="2220" w:type="dxa"/>
            <w:shd w:val="clear" w:color="auto" w:fill="0070C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低风险</w:t>
            </w:r>
          </w:p>
        </w:tc>
        <w:tc>
          <w:tcPr>
            <w:tcW w:w="804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1.检查放矿管道完好；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2.开启足够的放矿支管分散放矿；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3.根据滩面情况和放矿量调整放矿地点，确保滩面均匀上升。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4-2</w:t>
            </w:r>
          </w:p>
        </w:tc>
        <w:tc>
          <w:tcPr>
            <w:tcW w:w="26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筑坝作业</w:t>
            </w:r>
          </w:p>
        </w:tc>
        <w:tc>
          <w:tcPr>
            <w:tcW w:w="2220" w:type="dxa"/>
            <w:shd w:val="clear" w:color="auto" w:fill="0070C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低风险</w:t>
            </w:r>
          </w:p>
        </w:tc>
        <w:tc>
          <w:tcPr>
            <w:tcW w:w="804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1.采用粗颗粒尾砂筑坝，细颗粒尾砂排至库内；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2.筑坝保证有足够的安全超高；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3.筑坝前进行测量放线，筑坝完成后进行测量复核，保证筑坝参数符合设计要求。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4-3</w:t>
            </w:r>
          </w:p>
        </w:tc>
        <w:tc>
          <w:tcPr>
            <w:tcW w:w="26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排渗系统施工作业</w:t>
            </w:r>
          </w:p>
        </w:tc>
        <w:tc>
          <w:tcPr>
            <w:tcW w:w="2220" w:type="dxa"/>
            <w:shd w:val="clear" w:color="auto" w:fill="0070C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低风险</w:t>
            </w:r>
          </w:p>
        </w:tc>
        <w:tc>
          <w:tcPr>
            <w:tcW w:w="804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1.作业前检查设备设施状态；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2.作业前展开风险辨识；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3.作业人员穿戴好防护用品；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4.严格按照设计施工；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5.隐蔽工程做好工程记录；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6.作业完成后进行现场恢复。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4-4</w:t>
            </w:r>
          </w:p>
        </w:tc>
        <w:tc>
          <w:tcPr>
            <w:tcW w:w="26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坝肩沟及坡面排水沟施工作业</w:t>
            </w:r>
          </w:p>
        </w:tc>
        <w:tc>
          <w:tcPr>
            <w:tcW w:w="2220" w:type="dxa"/>
            <w:shd w:val="clear" w:color="auto" w:fill="0070C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低风险</w:t>
            </w:r>
          </w:p>
        </w:tc>
        <w:tc>
          <w:tcPr>
            <w:tcW w:w="804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1.作业前检查设备设施状态；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2.作业前展开风险辨识；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3.作业人员穿戴好防护用品；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4.严格按照设计施工，保证断面尺寸满足要求；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5.作业完成后进行现场恢复。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4-5</w:t>
            </w:r>
          </w:p>
        </w:tc>
        <w:tc>
          <w:tcPr>
            <w:tcW w:w="26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溢水塔或斜槽施工作业</w:t>
            </w:r>
          </w:p>
        </w:tc>
        <w:tc>
          <w:tcPr>
            <w:tcW w:w="2220" w:type="dxa"/>
            <w:shd w:val="clear" w:color="auto" w:fill="FFFF0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一般风险</w:t>
            </w:r>
          </w:p>
        </w:tc>
        <w:tc>
          <w:tcPr>
            <w:tcW w:w="804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1.作业前检查设备设施状态；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2.作业前展开风险辨识；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3.作业人员穿戴好防护用品；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4.严格按照设计施工；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5.对结构强度进行检测，合格后方可使用；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6.隐蔽工程做好工程记录；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7.作业完成后进行现场恢复。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4-6</w:t>
            </w:r>
          </w:p>
        </w:tc>
        <w:tc>
          <w:tcPr>
            <w:tcW w:w="26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溢水塔或斜槽盖板抽堵作业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shd w:val="clear" w:color="auto" w:fill="FFFF0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一般风险</w:t>
            </w:r>
          </w:p>
        </w:tc>
        <w:tc>
          <w:tcPr>
            <w:tcW w:w="804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1.作业前检查设备设施状态；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2.作业前展开风险辨识；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3.作业人员穿戴好防护用品；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4.作业现场有人监护。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4-7</w:t>
            </w:r>
          </w:p>
        </w:tc>
        <w:tc>
          <w:tcPr>
            <w:tcW w:w="26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主排洪系统施工或检查作业（受限空间）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shd w:val="clear" w:color="auto" w:fill="FFC00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较大风险</w:t>
            </w:r>
          </w:p>
        </w:tc>
        <w:tc>
          <w:tcPr>
            <w:tcW w:w="804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1.作业票审批；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2.作业前设置警戒隔离；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3.气体检测并通风；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4.作业人员穿戴好劳保用品（特别是呼吸器、安全绳、通讯器）；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5.现场有监护人实时监控；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6.发生危险严禁盲目施救，马上按作业应急预案处置。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4-8</w:t>
            </w:r>
          </w:p>
        </w:tc>
        <w:tc>
          <w:tcPr>
            <w:tcW w:w="26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设备检维修作业</w:t>
            </w:r>
          </w:p>
        </w:tc>
        <w:tc>
          <w:tcPr>
            <w:tcW w:w="2220" w:type="dxa"/>
            <w:shd w:val="clear" w:color="auto" w:fill="FFFF0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一般风险</w:t>
            </w:r>
          </w:p>
        </w:tc>
        <w:tc>
          <w:tcPr>
            <w:tcW w:w="804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1.作业前进行JSA分析，申领作业许可证，并严格审批。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2.严格落实能量隔离、有限空间、吊装、动火、临时用电等防范措施并落实专人监护。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3.按规定穿戴劳动防护用品（含特殊防护用品）。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4.特种作业必须持证上岗。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5.森林草原防灭火橙色及以上预警期间严禁野外动火作业。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6.节假日特殊作业进行升级管理。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4-9</w:t>
            </w:r>
          </w:p>
        </w:tc>
        <w:tc>
          <w:tcPr>
            <w:tcW w:w="26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道路修筑维护作业</w:t>
            </w:r>
          </w:p>
        </w:tc>
        <w:tc>
          <w:tcPr>
            <w:tcW w:w="2220" w:type="dxa"/>
            <w:shd w:val="clear" w:color="auto" w:fill="FFFF0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一般风险</w:t>
            </w:r>
          </w:p>
        </w:tc>
        <w:tc>
          <w:tcPr>
            <w:tcW w:w="804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1.作业前开展环境风险辨识。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2.养护作业区域前后50m路段设置警示标识。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3.指挥工程机具作业时应处于安全区域。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4.工作时禁止玩手机、或接打电话，若有需要请前往安全地点。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5.多人作业时保持足够安全距离。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6.人工搬运重物时，一人指挥，同起同落。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7.穿戴反光安全背心。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4-10</w:t>
            </w:r>
          </w:p>
        </w:tc>
        <w:tc>
          <w:tcPr>
            <w:tcW w:w="26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车辆机具维修作业</w:t>
            </w:r>
          </w:p>
        </w:tc>
        <w:tc>
          <w:tcPr>
            <w:tcW w:w="2220" w:type="dxa"/>
            <w:shd w:val="clear" w:color="auto" w:fill="FFFF0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一般风险</w:t>
            </w:r>
          </w:p>
        </w:tc>
        <w:tc>
          <w:tcPr>
            <w:tcW w:w="804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1.按规定穿戴劳动防护用品。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2.车辆机具停稳后需用三角木对轮胎进行支碾。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3.维修期间驾驶员将汽车钥匙交予维修人员，防止误启动。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4.驾驶室及货箱液压举升后需做二次防护。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5.液压千斤顶顶升后需用三角凳进行二次支撑。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6.焊接油箱、水箱及封闭罐体时执行动火或有限空间审批制度；二级吊装以上作业需办理吊装作业审批手续。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7.严禁带压拆装承压设备及附件。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8.人工搬运重物时，一人指挥，同起同落。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9.多人协同作业时应确定一人指挥，保证良好沟通。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10.维修区域消防设施完好有效。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4-11</w:t>
            </w:r>
          </w:p>
        </w:tc>
        <w:tc>
          <w:tcPr>
            <w:tcW w:w="26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低压配（变）电室</w:t>
            </w:r>
          </w:p>
        </w:tc>
        <w:tc>
          <w:tcPr>
            <w:tcW w:w="2220" w:type="dxa"/>
            <w:shd w:val="clear" w:color="auto" w:fill="FFFF0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一般风险</w:t>
            </w:r>
          </w:p>
        </w:tc>
        <w:tc>
          <w:tcPr>
            <w:tcW w:w="804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1.落实能量隔离措施（断电、测试、上锁、挂签）。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2.作业前检查工具的完好性。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3.穿戴专用的防护装备，如佩戴绝缘手套、绝缘鞋等。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4.安全警示标志齐全。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5.安装接地线、监测报警系统。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6.落实防止小动物进入配电室的措施。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7.铺设绝缘胶垫。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8.消防设备实施完好有效。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9.电缆沟、槽及进线口应进行封堵。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10.所有电气设备正常不带电的金属外壳应有保护接地。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4-12</w:t>
            </w:r>
          </w:p>
        </w:tc>
        <w:tc>
          <w:tcPr>
            <w:tcW w:w="26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高压配（变）电室</w:t>
            </w:r>
          </w:p>
        </w:tc>
        <w:tc>
          <w:tcPr>
            <w:tcW w:w="2220" w:type="dxa"/>
            <w:shd w:val="clear" w:color="auto" w:fill="FFFF0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一般风险</w:t>
            </w:r>
          </w:p>
        </w:tc>
        <w:tc>
          <w:tcPr>
            <w:tcW w:w="804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1.落实能量隔离措施（断电、测试、上锁、挂签）。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2.作业前检查工具的完好性。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3.穿戴专用的防护装备，如佩戴绝缘手套、绝缘鞋等。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4.安全警示标志齐全。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5.安装接地线、监测报警系统。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6.落实防止小动物进入配电室的措施。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7.铺设绝缘胶垫。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8.消防设备实施完好有效。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9.电缆沟、槽及进线口应进行封堵。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10.所有电气设备正常不带电的金属外壳应有保护接地。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11.绝缘工具、防护用品、防雷接地等定期检测。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12.严禁堆放杂物。</w:t>
            </w:r>
          </w:p>
        </w:tc>
      </w:tr>
    </w:tbl>
    <w:p>
      <w:pPr>
        <w:pStyle w:val="2"/>
        <w:ind w:left="0" w:leftChars="0" w:firstLine="0" w:firstLineChars="0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60937A3F"/>
    <w:rsid w:val="093277A9"/>
    <w:rsid w:val="0C00517C"/>
    <w:rsid w:val="0DEA1EA6"/>
    <w:rsid w:val="1BD80837"/>
    <w:rsid w:val="1C7F2A05"/>
    <w:rsid w:val="1D222E46"/>
    <w:rsid w:val="269B0465"/>
    <w:rsid w:val="2DD907B5"/>
    <w:rsid w:val="332858D5"/>
    <w:rsid w:val="341C3FDE"/>
    <w:rsid w:val="37014E1F"/>
    <w:rsid w:val="39410733"/>
    <w:rsid w:val="3DA76CDD"/>
    <w:rsid w:val="4020549C"/>
    <w:rsid w:val="41302AFE"/>
    <w:rsid w:val="465E50BE"/>
    <w:rsid w:val="49521D81"/>
    <w:rsid w:val="4B115470"/>
    <w:rsid w:val="4C265B4C"/>
    <w:rsid w:val="4F270F69"/>
    <w:rsid w:val="585208C9"/>
    <w:rsid w:val="5D9F2447"/>
    <w:rsid w:val="5E096584"/>
    <w:rsid w:val="6040308A"/>
    <w:rsid w:val="60937A3F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  <w:rsid w:val="7D5D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iPriority w:val="0"/>
    <w:rPr>
      <w:rFonts w:ascii="Calibri" w:hAnsi="Calibri" w:eastAsia="宋体"/>
      <w:sz w:val="24"/>
    </w:rPr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16</Characters>
  <Lines>0</Lines>
  <Paragraphs>0</Paragraphs>
  <TotalTime>0</TotalTime>
  <ScaleCrop>false</ScaleCrop>
  <LinksUpToDate>false</LinksUpToDate>
  <CharactersWithSpaces>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2023-03-03T03:31:00Z</dcterms:created>
  <dc:creator>孙瑞</dc:creator>
  <cp:lastModifiedBy>孙瑞</cp:lastModifiedBy>
  <dcterms:modified xsi:type="dcterms:W3CDTF">2023-03-03T03:33:47Z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09FE6AAB0058469C981607640D3EE7FD</vt:lpwstr>
  </property>
</Properties>
</file>