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rPr>
      </w:pPr>
      <w:r>
        <w:rPr>
          <w:rFonts w:hint="eastAsia" w:ascii="楷体_GB2312" w:eastAsia="楷体_GB2312"/>
          <w:lang w:val="en-US" w:eastAsia="zh-CN"/>
        </w:rPr>
        <w:t>8</w:t>
      </w:r>
      <w:r>
        <w:rPr>
          <w:rFonts w:hint="eastAsia" w:ascii="楷体_GB2312" w:eastAsia="楷体_GB2312"/>
        </w:rPr>
        <w:t>露天矿山日常安全检查工作清单</w:t>
      </w:r>
    </w:p>
    <w:tbl>
      <w:tblPr>
        <w:tblStyle w:val="12"/>
        <w:tblW w:w="142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445"/>
        <w:gridCol w:w="8789"/>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56"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445"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检查项目</w:t>
            </w:r>
          </w:p>
        </w:tc>
        <w:tc>
          <w:tcPr>
            <w:tcW w:w="8789"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检查内容</w:t>
            </w:r>
          </w:p>
        </w:tc>
        <w:tc>
          <w:tcPr>
            <w:tcW w:w="1417"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频次</w:t>
            </w:r>
          </w:p>
        </w:tc>
        <w:tc>
          <w:tcPr>
            <w:tcW w:w="1559"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基建矿山</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是否取得安全设施设计批文。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X次/X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开工前在属地监管部门是否备案。</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总承包大型深凹露天、高陡边坡及地质条件复杂的大型露天矿山工程的，具备矿山工程施工总承包二级以上施工资质。</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总承包其他露天矿山工程和分项承包金属非金属矿山工程的,具备矿山工程施工总承包或者相关的专业承包资质。</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未形成供水供电、开拓运输系统、疏干积水前，不得进行基建剥离施工。</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表土剥离作业应严格按照设计进行，保证台阶坡面角小于表土自然安息角。</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民爆物品</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爆破公司资质是否满足要求。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爆破工序有无再分包现象。</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爆破物品储存仓库是否办理民爆库房许可证。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爆破物品储存量是否满足许可储存量要求。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爆破物品是否在专用仓库储存，设专人管理。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爆破作业人员是否取得爆破作业人员许可证，人证是否一致。</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现场炸药、雷管是否分别存放在箱内加锁。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炸药、雷管箱子存放位置是否远离放炮警戒线、动火作业区、机械电气的安全地点。</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爆破物品出入库是否进行登记，建立台账。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爆破物品的运输是否有资质的单位承担。</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爆破物品销毁是否登记造册。</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爆破物品销毁方案是否报所在地县级人民政府公安机关组织监督销毁。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-19</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矿山生产</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依法取得安全生产许可证并在有效期内。</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建立相应的安全管理机构或者配备相应的安全管理人员、专业技术人员，主要负责人、安全管理人员、特种作业人员取得相应的证书。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道路坡度是否满足设计和规范要求。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道路转弯半径是否满足设计和规范要求。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急弯处是否设置有反光镜。</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多台铲装设备在同一平台上作业时，是否满足间隔50m以上的要求。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上、下台阶同时作业时，上部台阶的铲装设备是否超前下部台阶铲装设备；超前距离是否大于铲装设备最大工作半径的3倍，且不小于50m。</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铲装作业时铲斗是否从车辆驾驶室上通过。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人员是否在司机室踏板上或有落石危险的地方停留。</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大块矿石是否用机械进行二次破碎，严禁放炮处理。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-29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穿孔作业穿凿第一排孔时，钻机的纵轴线与台阶坡顶线的夹角是否大于45</w:t>
            </w:r>
            <w:r>
              <w:rPr>
                <w:rFonts w:hint="eastAsia" w:ascii="仿宋_GB2312" w:hAnsi="Calibri" w:eastAsia="仿宋_GB2312" w:cs="Calibri"/>
                <w:color w:val="000000"/>
                <w:kern w:val="0"/>
                <w:sz w:val="24"/>
              </w:rPr>
              <w:t>°</w:t>
            </w:r>
            <w:r>
              <w:rPr>
                <w:rFonts w:hint="eastAsia" w:ascii="仿宋_GB2312" w:hAnsi="等线" w:eastAsia="仿宋_GB2312" w:cs="宋体"/>
                <w:color w:val="000000"/>
                <w:kern w:val="0"/>
                <w:sz w:val="24"/>
              </w:rPr>
              <w:t>。</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钻机行走时是否采取防倾覆措施，前方是否有人引导和监护。</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钻机是否在松软地面或者倾角超过15</w:t>
            </w:r>
            <w:r>
              <w:rPr>
                <w:rFonts w:hint="eastAsia" w:ascii="仿宋_GB2312" w:hAnsi="Calibri" w:eastAsia="仿宋_GB2312" w:cs="Calibri"/>
                <w:color w:val="000000"/>
                <w:kern w:val="0"/>
                <w:sz w:val="24"/>
              </w:rPr>
              <w:t>°</w:t>
            </w:r>
            <w:r>
              <w:rPr>
                <w:rFonts w:hint="eastAsia" w:ascii="仿宋_GB2312" w:hAnsi="等线" w:eastAsia="仿宋_GB2312" w:cs="宋体"/>
                <w:color w:val="000000"/>
                <w:kern w:val="0"/>
                <w:sz w:val="24"/>
              </w:rPr>
              <w:t>的坡面上行走。</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钻机是否进行90</w:t>
            </w:r>
            <w:r>
              <w:rPr>
                <w:rFonts w:hint="eastAsia" w:ascii="仿宋_GB2312" w:hAnsi="Calibri" w:eastAsia="仿宋_GB2312" w:cs="Calibri"/>
                <w:color w:val="000000"/>
                <w:kern w:val="0"/>
                <w:sz w:val="24"/>
              </w:rPr>
              <w:t>°</w:t>
            </w:r>
            <w:r>
              <w:rPr>
                <w:rFonts w:hint="eastAsia" w:ascii="仿宋_GB2312" w:hAnsi="等线" w:eastAsia="仿宋_GB2312" w:cs="宋体"/>
                <w:color w:val="000000"/>
                <w:kern w:val="0"/>
                <w:sz w:val="24"/>
              </w:rPr>
              <w:t>急转弯，是否在斜坡上长时间停留。</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爆破作业前是否设置警戒线，并防止一切人员、机械、车辆进入。</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爆破后，是否由专人检查有无盲炮。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-35</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露天矿山边坡</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是否自上而下分层分台阶开采。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是否按设计开采，严禁“掏心窝、一面墙”开采。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是否已将浮石、松散岩体清理干净。</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采场内是否没有滑坡、危岩等灾害。</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-39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台阶坡面角是否符合设计角度。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靠帮台阶的最终帮坡角是否符合设计角度。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清扫平台、安全平台宽度是否符合设计要求。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台阶高度是否符合设计要求。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多台阶并段时，并段数量是否不超过3个台阶。</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边坡是否进行人工监测。</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边坡高度超过200m是否实施在线监测。</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在线监测系统运行情况是否良好可靠。</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在线监测系统设置是否有基准点。</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人工监测和在线监测是否每年进行一次监测数据对比、分析并形成报告。</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-49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是否按设计要求设置截排水沟。</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截排水沟断面尺寸是否符合设计要求。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截排水沟是否定期疏通，无淤堵。</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采场内是否保持干燥，无积水。</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大、中型矿山或边坡潜在危害性大的矿山是否每5年由有资质的中介机构进行一次检测和稳定性分析。</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-54</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排土场运营</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边坡是否进行人工监测。</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边坡高度超过200m是否实施在线监测。</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在线监测系统运行情况是否良好可靠。</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在线监测系统设置是否有基准点。</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人工监测和在线监测是否每年进行一次监测数据对比、分析。</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-59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排土场总坡角是否满足设计要求。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排土场台阶高度是否满足设计要求。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排土场平台宽度是否满足设计要求。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是否按要求进行稳定性论证。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排土场截排水沟断面大小是否与设计一致。</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排土场截排水沟是否保持通畅。</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排土场截排水沟是否完好无破损。</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排土场排渗系统是否按设计进行布置。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排土场排渗系统是否正常运行。</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隐蔽工程是否建立档案。</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-69</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胶带运输系统</w:t>
            </w: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物料是否从输送带上向下滚落。</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带式输送机倾角是否符合设计要求。</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是否有人员搭乘非载人带式输送机。</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在跨越输送机的地点是否设置带有安全栏杆的跨越桥。</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是否停车清除附着在输送带、滚简和托辊上的物料。</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是否在输送带运行中清理物料。</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输送机运转时是否进行注油、检查和修理等工作。</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维修或者更换备件时，是否停车、切断电源，并由专人监护。</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是否设置以下安全保护装置：</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装料点和卸料点的空仓、满仓等的保护和报警装置，并与输送机联锁;输送带清扫装置;防止输送带撕裂、断带、跑偏等的保护装置;防止过速、过载、打滑、大块冲击等的保护装置;线路上的信号、电气联锁和紧急停车装置;可靠的制动装置;上行带式输送机防逆转装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带式输送机传动装置、拉紧装置周围是否设置安全围栏。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-79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输送机转载处是否设置防护罩和溜槽堵塞保护装置与报警装置。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平硐或者斜井内的带式输送机是否采用阻燃型输送带。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-81</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道路运输</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是否使用自卸汽车运载易燃、易爆物品。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自卸汽车装载是否遵守以下规定：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——停在铲装设备回转范围0.5m以外。</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——驾驶员不离开驾驶室，不将身体任何部位伸出驾驶室外。</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——不在装载时检查、维护车辆。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双车道的路面宽度，是否保证会车安全。</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主要运输道路的急弯、陡坡、危险地段是否设置警示标志。</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高陡路基路段、弯道、坡度较大的路段，是否设有高度不小于车辆轮胎直径1/2的车挡或护栏。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汽车运行是否遵守下列规定：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——驾驶室外禁止乘人。</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——运行时不升降车斗。</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——不采用溜车方式发动车辆。</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——不空档滑行。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——不弯道超车。</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——下坡车速不超过25km／h。</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——不在主运输道路和坡道上停车。</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——不在供电线路下停车。</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——拖挂车辆行驶时采取可靠的安全措施，并有专人指挥。</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——通过道口之前驾驶员减</w:t>
            </w:r>
            <w:r>
              <w:rPr>
                <w:rFonts w:hint="eastAsia" w:ascii="仿宋" w:hAnsi="仿宋" w:eastAsia="仿宋" w:cs="宋体"/>
                <w:color w:val="000000"/>
                <w:kern w:val="0"/>
                <w:sz w:val="24"/>
              </w:rPr>
              <w:t>速</w:t>
            </w:r>
            <w:r>
              <w:rPr>
                <w:rFonts w:hint="eastAsia" w:ascii="仿宋" w:hAnsi="仿宋" w:eastAsia="仿宋" w:cs="微软雅黑"/>
                <w:color w:val="000000"/>
                <w:kern w:val="0"/>
                <w:sz w:val="24"/>
              </w:rPr>
              <w:t>瞭</w:t>
            </w:r>
            <w:r>
              <w:rPr>
                <w:rFonts w:hint="eastAsia" w:ascii="仿宋" w:hAnsi="仿宋" w:eastAsia="仿宋" w:cs="仿宋_GB2312"/>
                <w:color w:val="000000"/>
                <w:kern w:val="0"/>
                <w:sz w:val="24"/>
              </w:rPr>
              <w:t>望</w:t>
            </w:r>
            <w:r>
              <w:rPr>
                <w:rFonts w:hint="eastAsia" w:ascii="仿宋_GB2312" w:hAnsi="等线" w:eastAsia="仿宋_GB2312" w:cs="宋体"/>
                <w:color w:val="000000"/>
                <w:kern w:val="0"/>
                <w:sz w:val="24"/>
              </w:rPr>
              <w:t>，确认安全后再通过。</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——不超载运行。</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现场检修车辆时，是否采取可靠的安全措施。</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夜间装卸车是否有良好的照明条件。</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-89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雾霾或烟尘影响能见度时，是否开启警示灯，靠右侧减速行驶，前后车间距是否不小于30m，视距不足30m时，应靠右停车。</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冰雪或多雨季节，道路湿滑时，是否有防滑措施并减速行驶，前后车距应不小于40m。拖挂其他车辆时，是否采取有效的安全措施，并有专人指挥。</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-91</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旋回破</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是否设置设照明设施、卸料指示和报警信号装置。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进料口是否设置视频监视。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进料口周围是否设置围挡或防护栏杆。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卸车平台进料口是否设置牢固的安全限位车挡，车挡高度不小于车轮轮胎直径的1/3。</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进料口是否采取喷雾降尘措施。</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传动部位防护罩是否完好。</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处理堵塞和修理旋回破时是否执行能量隔离，是否清理进料口周围物料。</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旋回破未运行时，是否设有醒目的警示标志。</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-99</w:t>
            </w:r>
          </w:p>
        </w:tc>
        <w:tc>
          <w:tcPr>
            <w:tcW w:w="1445" w:type="dxa"/>
            <w:vMerge w:val="restart"/>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电气设施</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是否建立电气作业安全制度，规定工作票、工作许可、监护、间断、转移和终结等工作程序。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电气作业是否遵守下列规定：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——电气设备和线路的操作维修应由专职电气工作人员进行，严禁非电气专业人员从事电气作业。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——不应单人作业。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——未经许可不得操作、移动和恢复电气设备。</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——紧急情况下可以为切断电源而操作电气设备。</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——停电检修时，所有已切断的电源的开关把手均应加锁，并验电、放电、将线路接地，悬挂“有人作业，禁止送电”的警示牌。只有执行这项工作的人员才有权取下警示牌并送电。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——不应带电检修或搬动任何带电设备和电缆、电线；检修或搬动时，应先切断电源，并将导体完全放电和接地。</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——移动设备司机离开时应切断设备电源。</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——接地电阻应每年测定1次，测定工作应在该地区最干燥、地下水位最低的季节进行。</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主变电所是否符合下列规定：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——有防雷、防火、防潮措施。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——有防止小动物窜入的措施。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——有防止电缆燃烧的措施。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——所有电气设备正常不带电的金属外壳应有保护接地。</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——带电的导线、设备、变压器、油开关附近不应有易燃易爆物品。</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——电气设备周围应有保护措施并设置警示标志。</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电气室入口应悬挂“非工作人员禁止入内”的标志牌，高压电气设备应悬挂“高压危险”的标志牌，并应有照明。</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操作电气设备是否遵守下列规定：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——非值班人员不应操作电气设备。</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——手持式电气设备应有可靠的绝缘。</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——操作高压电气设备回路的工作人员应佩戴绝缘手套、穿电工绝缘靴或站在绝缘台、绝缘垫上。</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——装卸高压熔断器应佩戴护目眼镜。</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——雨天操作户外高压设备应使用带防雨罩的绝缘棒。</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——不应使用金属梯子。</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电气保护装置检验是否遵守下列规定：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——使用前应进行检验。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——在用设备每年至少检验1次。</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——线路变动、负荷调整时应进行检验。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——应做好检验记录并存档。</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雷雨天气巡视室外高压设备是否穿绝缘靴，不应使用伞具，不应靠近避雷装置。</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高压变配电设备和线路的停送电作业及检修是否遵守下列规定：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——应指定专人负责停、送电作业，作业时应有专人监护。</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——申请停、送电时，应执行工作票制度。</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——断电作业时，应进行验电、放电，并设置三相短路接地线；供电线路的电源开关应加锁或设专人看护，并悬挂“有人作业，不准送电”的警示牌。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——确认所有作业完毕后再摘除接地线和警示牌。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——由负责人检查无误后再通知调度恢复送电。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——值班人员应做好停送电记录。</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在供电线路上带电作业是否采取可靠的安全措施，并经矿山企业主要负责人批准。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敷设电缆是否遵守下列规定：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——电缆线路应避开水仓和可能出现滑坡的地段。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——跨台阶敷设电缆应避开有浮石、裂缝等的地段。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——电缆穿越铁路、公路时，应采取保护措施。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——高压电缆使用前应进行绝缘试验。</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-109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使用电缆是否遵守下列规定：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——高压电缆修复后，应进行绝缘试验再使用。</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——运行的高压电缆每年雷雨季节前应进行预防性试验。</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——电缆接头的强度、导电性能和绝缘性能应满足要求。</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——不应带电插拔移动式高压软电缆连接器。</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——沿地面敷设的向移动设备供电的橡套电缆中间不应有接头；应采取措施避免电缆被移动设备损坏。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-110</w:t>
            </w:r>
          </w:p>
        </w:tc>
        <w:tc>
          <w:tcPr>
            <w:tcW w:w="1445" w:type="dxa"/>
            <w:vMerge w:val="restart"/>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防排水</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露天矿山是否建立水文地质资料档案；有洪水或地下水威胁的是否设置防、排水机构；水文地质条件复杂或有洪水淹没危险的是否配备专职水文地质人员。</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露天采场的总出入沟口、平硐口、排水口和工业场地是否受洪水威胁。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露天矿山是否采取下列措施保证采场安全：</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——在采场边坡台阶设置排水沟。</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——地下水影响露天采场的安全生产时，应采取疏干等防治措施。</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露天矿山是否以下建立防排水系统：</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——受洪水威胁的露天采场应设置地面防洪工程。</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——不具备自然外排条件的山坡露天矿，境界外应设截水沟排水。</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——凹陷露天坑应设机械排水或自流排水设施。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——遇设计防洪频率的暴雨时，最低台阶淹没时间不应超过7d，淹没前应撤出人员和重要设备。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机械排水设施是否符合下列规定：</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——应设工作水泵和备用水泵；工作水泵应能在20h内排出一昼夜正常涌水量，全部水泵应能在20h内排出一昼夜的设计最大排水量。</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设工作排水管路和备用排水管路。工作排水管路应能配合工作水泵在20h内排出一昼夜正常涌水量；全部排水管路应能配合工作水泵和备用水泵在20h内排出一昼夜的设计最大排水量。任意一条排水管路检修时，其他排水管路应能完成正常排水任务。</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-115</w:t>
            </w:r>
          </w:p>
        </w:tc>
        <w:tc>
          <w:tcPr>
            <w:tcW w:w="1445" w:type="dxa"/>
            <w:vMerge w:val="restart"/>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防灭火</w:t>
            </w: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矿山建构筑物是否建立消防设施，设置消防器材。</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露天矿用设备是否配备灭火器。</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设备加油时严禁吸烟和明火。</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露天矿用设备上严禁存放汽油和其他易燃易爆品。</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-119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严禁用汽油擦洗设备。</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易燃易爆物品是否放在轨道接头、电缆接头或接地极附近。废弃的油料、棉纱和易燃物是否妥善管理。</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仓库、爆破器材库、氢和乙炔瓶库、石油液化气站和油库等重要场所，是否建立防火制度，采取防火、防爆措施，备足消防器材。</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-122</w:t>
            </w:r>
          </w:p>
        </w:tc>
        <w:tc>
          <w:tcPr>
            <w:tcW w:w="1445" w:type="dxa"/>
            <w:vMerge w:val="restart"/>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值班值守</w:t>
            </w:r>
          </w:p>
        </w:tc>
        <w:tc>
          <w:tcPr>
            <w:tcW w:w="8789"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值班值守制度中是否规定单班人员最少数量。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制度中是否规定交接班程序。</w:t>
            </w:r>
          </w:p>
        </w:tc>
        <w:tc>
          <w:tcPr>
            <w:tcW w:w="1417"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制度中是否明确危险情况下的处置措施。</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-125</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是否对玩忽职守制定处罚措施。</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-126</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是否按照制度进行值班值守。</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-127</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是否制定值班值守人员安排计划。</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-128</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交接班记录是否齐全。</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-129</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值班台账是否人员签字。</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-130</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值班台账内容是否真实。</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-131</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值班台账是否存档备查。</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-132</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值班人员是否在岗。</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-133</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值班人员是否保持工作状态，未干与值班无关事情。</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6"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olor w:val="000000"/>
                <w:sz w:val="24"/>
              </w:rPr>
              <w:t>6-</w:t>
            </w:r>
            <w:r>
              <w:rPr>
                <w:rFonts w:ascii="仿宋_GB2312" w:hAnsi="等线" w:eastAsia="仿宋_GB2312"/>
                <w:color w:val="000000"/>
                <w:sz w:val="24"/>
              </w:rPr>
              <w:t>2</w:t>
            </w:r>
            <w:r>
              <w:rPr>
                <w:rFonts w:hint="eastAsia" w:ascii="仿宋_GB2312" w:hAnsi="等线" w:eastAsia="仿宋_GB2312"/>
                <w:color w:val="000000"/>
                <w:sz w:val="24"/>
              </w:rPr>
              <w:t>-134</w:t>
            </w:r>
          </w:p>
        </w:tc>
        <w:tc>
          <w:tcPr>
            <w:tcW w:w="1445" w:type="dxa"/>
            <w:vMerge w:val="continue"/>
            <w:noWrap w:val="0"/>
            <w:vAlign w:val="center"/>
          </w:tcPr>
          <w:p>
            <w:pPr>
              <w:widowControl/>
              <w:jc w:val="left"/>
              <w:rPr>
                <w:rFonts w:hint="eastAsia" w:ascii="仿宋_GB2312" w:hAnsi="等线" w:eastAsia="仿宋_GB2312" w:cs="宋体"/>
                <w:color w:val="000000"/>
                <w:kern w:val="0"/>
                <w:sz w:val="24"/>
              </w:rPr>
            </w:pPr>
          </w:p>
        </w:tc>
        <w:tc>
          <w:tcPr>
            <w:tcW w:w="8789" w:type="dxa"/>
            <w:noWrap/>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值班人员是否对工作内容熟悉。</w:t>
            </w:r>
          </w:p>
        </w:tc>
        <w:tc>
          <w:tcPr>
            <w:tcW w:w="1417"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559"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EFE686D"/>
    <w:rsid w:val="093277A9"/>
    <w:rsid w:val="0C00517C"/>
    <w:rsid w:val="0DEA1EA6"/>
    <w:rsid w:val="17B80644"/>
    <w:rsid w:val="1BD80837"/>
    <w:rsid w:val="1C7F2A05"/>
    <w:rsid w:val="1D222E46"/>
    <w:rsid w:val="1EFE686D"/>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4795</Words>
  <Characters>5532</Characters>
  <Lines>0</Lines>
  <Paragraphs>0</Paragraphs>
  <TotalTime>0</TotalTime>
  <ScaleCrop>false</ScaleCrop>
  <LinksUpToDate>false</LinksUpToDate>
  <CharactersWithSpaces>5800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2023-03-03T03:18:00Z</dcterms:created>
  <dc:creator>孙瑞</dc:creator>
  <cp:lastModifiedBy>孙瑞</cp:lastModifiedBy>
  <dcterms:modified xsi:type="dcterms:W3CDTF">2023-03-03T03:18:50Z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A344785F053642FDA4AB85C3B574CD62</vt:lpwstr>
  </property>
</Properties>
</file>