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宋体"/>
          <w:color w:val="000000"/>
          <w:kern w:val="0"/>
          <w:sz w:val="28"/>
          <w:szCs w:val="28"/>
        </w:rPr>
      </w:pPr>
      <w:r>
        <w:rPr>
          <w:rFonts w:hint="eastAsia" w:eastAsia="方正小标宋简体"/>
          <w:sz w:val="44"/>
          <w:lang w:val="en-US" w:eastAsia="zh-CN"/>
        </w:rPr>
        <w:t>地下</w:t>
      </w:r>
      <w:r>
        <w:rPr>
          <w:rFonts w:hint="eastAsia" w:eastAsia="方正小标宋简体"/>
          <w:sz w:val="44"/>
        </w:rPr>
        <w:t>矿山外包工程管理清单</w:t>
      </w:r>
      <w:r>
        <w:rPr>
          <w:rFonts w:eastAsia="方正小标宋简体"/>
          <w:sz w:val="44"/>
        </w:rPr>
        <w:t>参考模板（2</w:t>
      </w:r>
      <w:r>
        <w:rPr>
          <w:rFonts w:hint="eastAsia" w:eastAsia="方正小标宋简体"/>
          <w:sz w:val="44"/>
        </w:rPr>
        <w:t>.</w:t>
      </w:r>
      <w:r>
        <w:rPr>
          <w:rFonts w:eastAsia="方正小标宋简体"/>
          <w:sz w:val="44"/>
        </w:rPr>
        <w:t>0版）</w:t>
      </w:r>
      <w:bookmarkStart w:id="0" w:name="_GoBack"/>
      <w:bookmarkEnd w:id="0"/>
    </w:p>
    <w:tbl>
      <w:tblPr>
        <w:tblStyle w:val="12"/>
        <w:tblW w:w="144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547"/>
        <w:gridCol w:w="8788"/>
        <w:gridCol w:w="1843"/>
        <w:gridCol w:w="1276"/>
      </w:tblGrid>
      <w:tr>
        <w:trPr>
          <w:trHeight w:val="600" w:hRule="atLeast"/>
        </w:trPr>
        <w:tc>
          <w:tcPr>
            <w:tcW w:w="1000" w:type="dxa"/>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1547" w:type="dxa"/>
            <w:noWrap w:val="0"/>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排查项目</w:t>
            </w:r>
          </w:p>
        </w:tc>
        <w:tc>
          <w:tcPr>
            <w:tcW w:w="8788"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排查内容</w:t>
            </w:r>
          </w:p>
        </w:tc>
        <w:tc>
          <w:tcPr>
            <w:tcW w:w="1843"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排查结果</w:t>
            </w:r>
          </w:p>
        </w:tc>
        <w:tc>
          <w:tcPr>
            <w:tcW w:w="1276"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rPr>
          <w:trHeight w:val="6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p>
        </w:tc>
        <w:tc>
          <w:tcPr>
            <w:tcW w:w="1547" w:type="dxa"/>
            <w:vMerge w:val="restart"/>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准入管理</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审查外包单位营业执照、施工资质、安全生产许可证、专业技术能力评估、特种作业、安全管理人员资质、近三年安全业绩等。</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420"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-2</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承办商是否为施工人员购买安全生产责任保险或其他保险。</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554"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-3</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入场前外包单位是否提供员工体检报告。</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-4</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承包单位是否对员工开展入场前安全教育培训及考试合格。</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71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-5</w:t>
            </w:r>
          </w:p>
        </w:tc>
        <w:tc>
          <w:tcPr>
            <w:tcW w:w="1547"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安全协议签订</w:t>
            </w:r>
          </w:p>
        </w:tc>
        <w:tc>
          <w:tcPr>
            <w:tcW w:w="8788" w:type="dxa"/>
            <w:noWrap w:val="0"/>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是否签订HSE管理协议，协议内容是否符合《非煤矿山外包工程安全管理暂行办法》（国家安监总局令第62号）。</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141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-6</w:t>
            </w:r>
          </w:p>
        </w:tc>
        <w:tc>
          <w:tcPr>
            <w:tcW w:w="1547"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安全技术交底</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与外包单位开展安全技术交底，主要包含以下内容：向承包单位提供承包工程项目的工作现场及毗邻区域的供水、供电、通信及地质、水文等相关资料，对作业范围、工艺流程特点、危险因素、应急处置建议、安全生产责任、安全管理基本要求等事项做出明确说明，并经双方签字确认后存档。</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493"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-7</w:t>
            </w:r>
          </w:p>
        </w:tc>
        <w:tc>
          <w:tcPr>
            <w:tcW w:w="1547" w:type="dxa"/>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安全教育</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 xml:space="preserve">发包单位是否对外包单位员工进行全员入场安全教育培训及考试合格。 </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624"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-8</w:t>
            </w:r>
          </w:p>
        </w:tc>
        <w:tc>
          <w:tcPr>
            <w:tcW w:w="1547" w:type="dxa"/>
            <w:vMerge w:val="restart"/>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日常监管</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外包单位是否定期开展隐患排查治理。</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9</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外包单位是否针对危险作业制定安全措施并经发包单位审核。危险作业包含：爆破、吊装、动火、钻探、高空、进入受限空间等危险作业，或者在可能发生火灾、爆炸、触电、高处坠落、中毒窒息、机械伤害、烧烫伤等事故的危险场所进行作业。</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115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0</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针对危险性较大或易发生事故的作业，外包单位是否制定安全生产应急救援预案，配备必要的应急处置装备，作业时是否事先通知周边可能受到意外伤害的单位和人员，做好安全防护工作。</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1</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安全设施配备是否齐全、有效。</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43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2</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作业环境是否安全。</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3</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作业许可和能量隔离执行是否到位。</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4</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人员劳动保护用品配备是否到位。</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5</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是否使用国家明令禁止使用的设备、材料和工艺的现象。</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416" w:hRule="atLeast"/>
        </w:trPr>
        <w:tc>
          <w:tcPr>
            <w:tcW w:w="1000" w:type="dxa"/>
            <w:noWrap/>
            <w:vAlign w:val="center"/>
          </w:tcPr>
          <w:p>
            <w:pPr>
              <w:widowControl/>
              <w:jc w:val="center"/>
              <w:rPr>
                <w:rFonts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6</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矿山、金属冶炼建设项目承包单位，是否倒卖、出租、出借、挂靠或者以其他形式非法转让施工资质，是否将其承包的全部建设工程转包给第三人或者将其承包的全部建设工程支解以后以分包的名义分别转包给第三人，是否将工程分包给不具备相应资质条件的单位。</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p>
        </w:tc>
      </w:tr>
      <w:tr>
        <w:trPr>
          <w:trHeight w:val="416"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7</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两个以上生产经营单位在同一区域内进行生产经营活动，可能危及对方生产安全的，是否签订安全生产管理协议，明确各自的安全生产管理职责和应当采取的安全措施，并指定专职的安全生产管理人员进行安全检查和协调。</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18</w:t>
            </w:r>
          </w:p>
        </w:tc>
        <w:tc>
          <w:tcPr>
            <w:tcW w:w="1547" w:type="dxa"/>
            <w:vMerge w:val="restart"/>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评估考核</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是否对外包单位的日常工作表现进行评估考核。</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19</w:t>
            </w:r>
          </w:p>
        </w:tc>
        <w:tc>
          <w:tcPr>
            <w:tcW w:w="1547" w:type="dxa"/>
            <w:vMerge w:val="continue"/>
            <w:noWrap w:val="0"/>
            <w:vAlign w:val="center"/>
          </w:tcPr>
          <w:p>
            <w:pPr>
              <w:widowControl/>
              <w:jc w:val="left"/>
              <w:rPr>
                <w:rFonts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是否对外包单位进行年度综合考评，淘汰不合格外包单位。</w:t>
            </w:r>
          </w:p>
        </w:tc>
        <w:tc>
          <w:tcPr>
            <w:tcW w:w="1843" w:type="dxa"/>
            <w:noWrap/>
            <w:vAlign w:val="bottom"/>
          </w:tcPr>
          <w:p>
            <w:pPr>
              <w:widowControl/>
              <w:jc w:val="left"/>
              <w:rPr>
                <w:rFonts w:hint="eastAsia" w:ascii="等线" w:hAnsi="等线" w:eastAsia="等线" w:cs="宋体"/>
                <w:color w:val="000000"/>
                <w:kern w:val="0"/>
                <w:sz w:val="24"/>
              </w:rPr>
            </w:pPr>
            <w:r>
              <w:rPr>
                <w:rFonts w:hint="eastAsia" w:ascii="等线" w:hAnsi="等线" w:eastAsia="等线" w:cs="宋体"/>
                <w:color w:val="000000"/>
                <w:kern w:val="0"/>
                <w:sz w:val="24"/>
              </w:rPr>
              <w:t>　</w:t>
            </w:r>
          </w:p>
        </w:tc>
        <w:tc>
          <w:tcPr>
            <w:tcW w:w="1276" w:type="dxa"/>
            <w:noWrap/>
            <w:vAlign w:val="bottom"/>
          </w:tcPr>
          <w:p>
            <w:pPr>
              <w:widowControl/>
              <w:jc w:val="left"/>
              <w:rPr>
                <w:rFonts w:hint="eastAsia" w:ascii="等线" w:hAnsi="等线" w:eastAsia="等线" w:cs="宋体"/>
                <w:color w:val="000000"/>
                <w:kern w:val="0"/>
                <w:sz w:val="24"/>
              </w:rPr>
            </w:pPr>
            <w:r>
              <w:rPr>
                <w:rFonts w:hint="eastAsia" w:ascii="等线" w:hAnsi="等线" w:eastAsia="等线" w:cs="宋体"/>
                <w:color w:val="000000"/>
                <w:kern w:val="0"/>
                <w:sz w:val="24"/>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49346FEE"/>
    <w:rsid w:val="093277A9"/>
    <w:rsid w:val="0C00517C"/>
    <w:rsid w:val="0DEA1EA6"/>
    <w:rsid w:val="17DF192A"/>
    <w:rsid w:val="1BD80837"/>
    <w:rsid w:val="1C7F2A05"/>
    <w:rsid w:val="1D222E46"/>
    <w:rsid w:val="269B0465"/>
    <w:rsid w:val="2DD907B5"/>
    <w:rsid w:val="332858D5"/>
    <w:rsid w:val="341C3FDE"/>
    <w:rsid w:val="37014E1F"/>
    <w:rsid w:val="39410733"/>
    <w:rsid w:val="3DA76CDD"/>
    <w:rsid w:val="4020549C"/>
    <w:rsid w:val="41302AFE"/>
    <w:rsid w:val="465E50BE"/>
    <w:rsid w:val="49346FE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 w:val="793C4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2023-03-01T17:55:00Z</dcterms:created>
  <dc:creator>孙瑞</dc:creator>
  <cp:lastModifiedBy>WPS_1513130633</cp:lastModifiedBy>
  <dcterms:modified xsi:type="dcterms:W3CDTF">2023-03-03T09:53:36Z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35342FBB87E348A2B8D06B00D75CE2E1</vt:lpwstr>
  </property>
</Properties>
</file>