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3-</w:t>
      </w:r>
      <w:r>
        <w:rPr>
          <w:rFonts w:ascii="黑体" w:hAnsi="黑体" w:eastAsia="黑体" w:cs="黑体"/>
          <w:kern w:val="0"/>
          <w:sz w:val="32"/>
          <w:szCs w:val="32"/>
        </w:rPr>
        <w:t>5</w:t>
      </w:r>
      <w:r>
        <w:rPr>
          <w:rFonts w:hint="eastAsia" w:ascii="黑体" w:hAnsi="黑体" w:eastAsia="黑体" w:cs="黑体"/>
          <w:kern w:val="0"/>
          <w:sz w:val="32"/>
          <w:szCs w:val="32"/>
        </w:rPr>
        <w:t xml:space="preserve"> 生产岗位安全生产责任清单</w:t>
      </w:r>
    </w:p>
    <w:tbl>
      <w:tblPr>
        <w:tblStyle w:val="12"/>
        <w:tblW w:w="5000" w:type="pct"/>
        <w:tblInd w:w="0" w:type="dxa"/>
        <w:tblLayout w:type="autofit"/>
        <w:tblCellMar>
          <w:top w:w="0" w:type="dxa"/>
          <w:left w:w="108" w:type="dxa"/>
          <w:bottom w:w="0" w:type="dxa"/>
          <w:right w:w="108" w:type="dxa"/>
        </w:tblCellMar>
      </w:tblPr>
      <w:tblGrid>
        <w:gridCol w:w="1176"/>
        <w:gridCol w:w="3814"/>
        <w:gridCol w:w="6041"/>
        <w:gridCol w:w="3143"/>
      </w:tblGrid>
      <w:tr>
        <w:tblPrEx>
          <w:tblCellMar>
            <w:top w:w="0" w:type="dxa"/>
            <w:left w:w="108" w:type="dxa"/>
            <w:bottom w:w="0" w:type="dxa"/>
            <w:right w:w="108" w:type="dxa"/>
          </w:tblCellMar>
        </w:tblPrEx>
        <w:trPr>
          <w:trHeight w:val="510" w:hRule="atLeast"/>
        </w:trPr>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部门</w:t>
            </w:r>
          </w:p>
        </w:tc>
        <w:tc>
          <w:tcPr>
            <w:tcW w:w="14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成都局集团公司XXX段XXX车间XXX班组</w:t>
            </w:r>
          </w:p>
        </w:tc>
        <w:tc>
          <w:tcPr>
            <w:tcW w:w="21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岗位名称</w:t>
            </w:r>
          </w:p>
        </w:tc>
        <w:tc>
          <w:tcPr>
            <w:tcW w:w="117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机车电工</w:t>
            </w:r>
          </w:p>
        </w:tc>
      </w:tr>
      <w:tr>
        <w:tblPrEx>
          <w:tblCellMar>
            <w:top w:w="0" w:type="dxa"/>
            <w:left w:w="108" w:type="dxa"/>
            <w:bottom w:w="0" w:type="dxa"/>
            <w:right w:w="108" w:type="dxa"/>
          </w:tblCellMar>
        </w:tblPrEx>
        <w:trPr>
          <w:trHeight w:val="510" w:hRule="atLeast"/>
        </w:trPr>
        <w:tc>
          <w:tcPr>
            <w:tcW w:w="2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姓名</w:t>
            </w:r>
          </w:p>
        </w:tc>
        <w:tc>
          <w:tcPr>
            <w:tcW w:w="1409" w:type="pct"/>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XXX</w:t>
            </w:r>
          </w:p>
        </w:tc>
        <w:tc>
          <w:tcPr>
            <w:tcW w:w="2194"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直接主管</w:t>
            </w:r>
          </w:p>
        </w:tc>
        <w:tc>
          <w:tcPr>
            <w:tcW w:w="11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XXX</w:t>
            </w:r>
          </w:p>
        </w:tc>
      </w:tr>
      <w:tr>
        <w:tblPrEx>
          <w:tblCellMar>
            <w:top w:w="0" w:type="dxa"/>
            <w:left w:w="108" w:type="dxa"/>
            <w:bottom w:w="0" w:type="dxa"/>
            <w:right w:w="108" w:type="dxa"/>
          </w:tblCellMar>
        </w:tblPrEx>
        <w:trPr>
          <w:trHeight w:val="510" w:hRule="atLeast"/>
        </w:trPr>
        <w:tc>
          <w:tcPr>
            <w:tcW w:w="2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序号</w:t>
            </w:r>
          </w:p>
        </w:tc>
        <w:tc>
          <w:tcPr>
            <w:tcW w:w="14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安全生产岗位责任清单</w:t>
            </w:r>
          </w:p>
        </w:tc>
        <w:tc>
          <w:tcPr>
            <w:tcW w:w="2194"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安全生产岗位履职清单</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清单依据</w:t>
            </w:r>
          </w:p>
        </w:tc>
      </w:tr>
      <w:tr>
        <w:tblPrEx>
          <w:tblCellMar>
            <w:top w:w="0" w:type="dxa"/>
            <w:left w:w="108" w:type="dxa"/>
            <w:bottom w:w="0" w:type="dxa"/>
            <w:right w:w="108" w:type="dxa"/>
          </w:tblCellMar>
        </w:tblPrEx>
        <w:trPr>
          <w:trHeight w:val="510" w:hRule="atLeast"/>
        </w:trPr>
        <w:tc>
          <w:tcPr>
            <w:tcW w:w="22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1409"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kern w:val="0"/>
                <w:szCs w:val="21"/>
              </w:rPr>
            </w:pPr>
            <w:r>
              <w:rPr>
                <w:rFonts w:hint="eastAsia" w:ascii="仿宋" w:hAnsi="仿宋" w:eastAsia="仿宋" w:cs="宋体"/>
                <w:kern w:val="0"/>
                <w:szCs w:val="21"/>
              </w:rPr>
              <w:t>遵守安全生产有关法律法规、行业规章。</w:t>
            </w: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1）学习掌握《中华人民共和国安全生产法》、《劳动合同法》、《中华人民共和国消防法》、《职业病防治法》、《生产安全事故报告和调查处理条例》等与本岗位安全生产相关法律法规，并严格遵守。</w:t>
            </w:r>
          </w:p>
        </w:tc>
        <w:tc>
          <w:tcPr>
            <w:tcW w:w="1172"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法律法规：《中华人民共和国安全生产法》、《劳动法》、《劳动合同法》、《职业病防治法》、《中华人民共和国消防法》、《中华人民共和国治安管理处罚法。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行业规章：《铁路运输安全保护条例》、《铁路安全管理条例》、《机车检修工作要求及检查办法》、《成都铁路局机务系统安全生产标准化创建管理办法》</w:t>
            </w: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）学习掌握《铁路运输安全保护条例》、《铁路安全管理条例》、《机车检修工作要求及检查办法》、《成都铁路局机务系统安全生产标准化创建管理办法》等与本岗位相关法律法规，并严格遵守。</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）按要求参加班组传达段、车间月度安全例会、突发安全事故分析会等学习会，掌握会议主要事项，认真领会会议精神，严格执行会议制定的措施及工作安排。</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1409"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kern w:val="0"/>
                <w:szCs w:val="21"/>
              </w:rPr>
            </w:pPr>
            <w:r>
              <w:rPr>
                <w:rFonts w:hint="eastAsia" w:ascii="仿宋" w:hAnsi="仿宋" w:eastAsia="仿宋" w:cs="宋体"/>
                <w:kern w:val="0"/>
                <w:szCs w:val="21"/>
              </w:rPr>
              <w:t>遵守企业安全生产规章制度、操作规程；落实安全责任，按标准完成各项工作任务，保证安全生产。</w:t>
            </w: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1）遵守直供电负载试验、自动过分相试验、砂轮机、移动作业平台等设备操作规程，正确操作相关设备设施；</w:t>
            </w:r>
          </w:p>
        </w:tc>
        <w:tc>
          <w:tcPr>
            <w:tcW w:w="1172"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重庆机务段安全生产责任制》、《重庆机务段安全生产结合部管理制度》、《重庆机务段安全生产目标管理制度》、《重庆机务段现场作业控制制度》、《重庆机务段集体企业安全管理制度》、《重庆机务段劳动安全管理制度》、《重庆机务段人身安全及电气化铁路安全制度》、《重庆机务段安全生产保障制度》、《重庆机务段作业人员劳动安全卡控措施》、《关于公布SS3、SS7C型机车自动过分相装置相关操作要求的通知》、《重庆机务段机车操作禁忌》、《关于规范HXD3C型机车高压隔离开关操作的通知》、《机车牵车作业管理办法》、《天车指挥规定及注意事项》</w:t>
            </w: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）操作设备过程中严禁带电插拔直供电负载试验连接线等违章行为发生；</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）严禁在没有取得直供电负载试验等设备操作证的情况下操作、使用设备；</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）机车检修作业过程中，严格按照相关工艺、范围、作业指导书及本岗位作业规范进行检修，杜绝人为造成的“三修”行为发生，确保机车基础质量；</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5）检修作业过程中做好各交叉、重叠部分作业安全卡控，行车作业时做好避让，严禁在天车吊装移动的部件下作业及行走，严禁在移动的机车、公铁两用车前方抢越线路。</w:t>
            </w:r>
          </w:p>
        </w:tc>
        <w:tc>
          <w:tcPr>
            <w:tcW w:w="1172"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1409"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kern w:val="0"/>
                <w:szCs w:val="21"/>
              </w:rPr>
            </w:pPr>
            <w:r>
              <w:rPr>
                <w:rFonts w:hint="eastAsia" w:ascii="仿宋" w:hAnsi="仿宋" w:eastAsia="仿宋" w:cs="宋体"/>
                <w:kern w:val="0"/>
                <w:szCs w:val="21"/>
              </w:rPr>
              <w:t>服从管理，遵守劳动纪律、作业纪律。</w:t>
            </w: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安全生产管理制度、办法有：红线管理办法；职工经济责任制考核管理办法；职工奖惩实施细则；职工下岗管理办法；职工解除劳动合同管理办法；机车电工上岗前劳动安全培训制度；机车电工防触电管理办法。</w:t>
            </w:r>
          </w:p>
        </w:tc>
        <w:tc>
          <w:tcPr>
            <w:tcW w:w="1172" w:type="pct"/>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劳动法》、《铁路安全管理条例》、《成都铁路局职工奖惩管理办法》、《成都铁路局劳动安全监督检查管理办法》、《成都局集团公司关于重新公布安全红线内容及管理规定的通知》、《机务处关于发布安全红线有关条款释义的通知》《重庆机务段机车检修作业管理办法》、《重庆机务段人身安全及电气化铁路安全制度》、《重庆机务段安全红线管理办法》、《重庆机务段职工奖惩管理实施细则》、《重庆机务段“钉钉”软件使用管理实施细则》、《重庆机务段关于重新公布各型机车修程作业指导书的通知》。 </w:t>
            </w: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2</w:t>
            </w:r>
            <w:r>
              <w:rPr>
                <w:rFonts w:hint="eastAsia" w:ascii="仿宋" w:hAnsi="仿宋" w:eastAsia="仿宋" w:cs="宋体"/>
                <w:color w:val="000000"/>
                <w:kern w:val="0"/>
                <w:szCs w:val="21"/>
              </w:rPr>
              <w:t>）每日参加班组早点名，听从班组安全员对当日劳动安全注意事项的提醒，按照班组工长对当日生产任务的分工进行作业，按照车间生产调度对工作进度及作业顺序的安排进行作业，服从车间安全员及管理人员对现场劳动安全的调度指挥，充分协调好交叉作业部位作业时间节点，避免产生不必要的纷争。</w:t>
            </w:r>
          </w:p>
        </w:tc>
        <w:tc>
          <w:tcPr>
            <w:tcW w:w="1172"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3</w:t>
            </w:r>
            <w:r>
              <w:rPr>
                <w:rFonts w:hint="eastAsia" w:ascii="仿宋" w:hAnsi="仿宋" w:eastAsia="仿宋" w:cs="宋体"/>
                <w:color w:val="000000"/>
                <w:kern w:val="0"/>
                <w:szCs w:val="21"/>
              </w:rPr>
              <w:t>）严格钉钉考勤打卡制度，因交通车晚点及时报备，因自身原因迟到及时向班组工长进行说明，有事提前请假，杜绝事后请假、请霸王假，不得早退。</w:t>
            </w:r>
          </w:p>
        </w:tc>
        <w:tc>
          <w:tcPr>
            <w:tcW w:w="1172"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4</w:t>
            </w:r>
            <w:r>
              <w:rPr>
                <w:rFonts w:hint="eastAsia" w:ascii="仿宋" w:hAnsi="仿宋" w:eastAsia="仿宋" w:cs="宋体"/>
                <w:color w:val="000000"/>
                <w:kern w:val="0"/>
                <w:szCs w:val="21"/>
              </w:rPr>
              <w:t>）严格按照交、直流各型机车对应各级修程作业指导书及作业流程进行作业，避免出现作业漏项和无序作业。</w:t>
            </w:r>
          </w:p>
        </w:tc>
        <w:tc>
          <w:tcPr>
            <w:tcW w:w="1172"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5）开工前充分休息，轮班制职工遵守间休管理规定，班前和班中严禁饮酒，不提倡带病工作，身体不适及时就医；夏季按规定服用防暑药品，避免中暑。</w:t>
            </w:r>
          </w:p>
        </w:tc>
        <w:tc>
          <w:tcPr>
            <w:tcW w:w="1172"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c>
          <w:tcPr>
            <w:tcW w:w="1409" w:type="pct"/>
            <w:vMerge w:val="continue"/>
            <w:tcBorders>
              <w:top w:val="nil"/>
              <w:left w:val="single" w:color="auto" w:sz="4" w:space="0"/>
              <w:bottom w:val="single" w:color="000000" w:sz="4" w:space="0"/>
              <w:right w:val="single" w:color="auto" w:sz="4" w:space="0"/>
            </w:tcBorders>
            <w:vAlign w:val="center"/>
          </w:tcPr>
          <w:p>
            <w:pPr>
              <w:widowControl/>
              <w:rPr>
                <w:rFonts w:ascii="仿宋" w:hAnsi="仿宋" w:eastAsia="仿宋" w:cs="宋体"/>
                <w:kern w:val="0"/>
                <w:szCs w:val="21"/>
              </w:rPr>
            </w:pPr>
          </w:p>
        </w:tc>
        <w:tc>
          <w:tcPr>
            <w:tcW w:w="2194" w:type="pct"/>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宋体"/>
                <w:color w:val="000000"/>
                <w:kern w:val="0"/>
                <w:szCs w:val="21"/>
              </w:rPr>
            </w:pPr>
            <w:r>
              <w:rPr>
                <w:rFonts w:ascii="仿宋" w:hAnsi="仿宋" w:eastAsia="仿宋" w:cs="宋体"/>
                <w:color w:val="000000"/>
                <w:kern w:val="0"/>
                <w:szCs w:val="21"/>
              </w:rPr>
              <w:t>6</w:t>
            </w:r>
            <w:r>
              <w:rPr>
                <w:rFonts w:hint="eastAsia" w:ascii="仿宋" w:hAnsi="仿宋" w:eastAsia="仿宋" w:cs="宋体"/>
                <w:color w:val="000000"/>
                <w:kern w:val="0"/>
                <w:szCs w:val="21"/>
              </w:rPr>
              <w:t>）按照各岗位的特点和要求，严格值班值守，工作时间严禁单独或相互窜岗，杜绝脱岗和擅离职守。</w:t>
            </w:r>
          </w:p>
        </w:tc>
        <w:tc>
          <w:tcPr>
            <w:tcW w:w="1172"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22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1409"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2194"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1172" w:type="pct"/>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57406B4"/>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BFF59B7"/>
    <w:rsid w:val="6DCE27EC"/>
    <w:rsid w:val="6E486122"/>
    <w:rsid w:val="70390390"/>
    <w:rsid w:val="7574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Words>
  <Characters>15</Characters>
  <Lines>0</Lines>
  <Paragraphs>0</Paragraphs>
  <TotalTime>0</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2023-03-02T09:31:00Z</dcterms:created>
  <dc:creator>孙瑞</dc:creator>
  <cp:lastModifiedBy>孙瑞</cp:lastModifiedBy>
  <dcterms:modified xsi:type="dcterms:W3CDTF">2023-03-02T09:31:20Z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F4AC7BBEB16141DB92E5C212E87C1506</vt:lpwstr>
  </property>
</Properties>
</file>