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3-</w:t>
      </w:r>
      <w:r>
        <w:rPr>
          <w:rFonts w:ascii="黑体" w:hAnsi="黑体" w:eastAsia="黑体" w:cs="黑体"/>
          <w:kern w:val="0"/>
          <w:sz w:val="32"/>
          <w:szCs w:val="32"/>
        </w:rPr>
        <w:t>2</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val="en-US" w:eastAsia="zh-CN"/>
        </w:rPr>
        <w:t>公司</w:t>
      </w:r>
      <w:r>
        <w:rPr>
          <w:rFonts w:hint="eastAsia" w:ascii="黑体" w:hAnsi="黑体" w:eastAsia="黑体" w:cs="黑体"/>
          <w:kern w:val="0"/>
          <w:sz w:val="32"/>
          <w:szCs w:val="32"/>
        </w:rPr>
        <w:t>副职岗位安全生产责任清单</w:t>
      </w:r>
    </w:p>
    <w:tbl>
      <w:tblPr>
        <w:tblStyle w:val="12"/>
        <w:tblW w:w="5000" w:type="pct"/>
        <w:tblInd w:w="0" w:type="dxa"/>
        <w:tblLayout w:type="autofit"/>
        <w:tblCellMar>
          <w:top w:w="0" w:type="dxa"/>
          <w:left w:w="108" w:type="dxa"/>
          <w:bottom w:w="0" w:type="dxa"/>
          <w:right w:w="108" w:type="dxa"/>
        </w:tblCellMar>
      </w:tblPr>
      <w:tblGrid>
        <w:gridCol w:w="1136"/>
        <w:gridCol w:w="4565"/>
        <w:gridCol w:w="5416"/>
        <w:gridCol w:w="3057"/>
      </w:tblGrid>
      <w:tr>
        <w:tblPrEx>
          <w:tblCellMar>
            <w:top w:w="0" w:type="dxa"/>
            <w:left w:w="108" w:type="dxa"/>
            <w:bottom w:w="0" w:type="dxa"/>
            <w:right w:w="108" w:type="dxa"/>
          </w:tblCellMar>
        </w:tblPrEx>
        <w:trPr>
          <w:trHeight w:val="510"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部门</w:t>
            </w:r>
          </w:p>
        </w:tc>
        <w:tc>
          <w:tcPr>
            <w:tcW w:w="16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成都局集团公司</w:t>
            </w:r>
          </w:p>
        </w:tc>
        <w:tc>
          <w:tcPr>
            <w:tcW w:w="19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岗位名称</w:t>
            </w:r>
          </w:p>
        </w:tc>
        <w:tc>
          <w:tcPr>
            <w:tcW w:w="11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副总经理、副段长、党委副书记等</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姓名</w:t>
            </w:r>
          </w:p>
        </w:tc>
        <w:tc>
          <w:tcPr>
            <w:tcW w:w="1661"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XXX</w:t>
            </w:r>
          </w:p>
        </w:tc>
        <w:tc>
          <w:tcPr>
            <w:tcW w:w="1961"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直接主管</w:t>
            </w:r>
          </w:p>
        </w:tc>
        <w:tc>
          <w:tcPr>
            <w:tcW w:w="112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XXX</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序号</w:t>
            </w:r>
          </w:p>
        </w:tc>
        <w:tc>
          <w:tcPr>
            <w:tcW w:w="166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安全生产岗位责任清单</w:t>
            </w:r>
          </w:p>
        </w:tc>
        <w:tc>
          <w:tcPr>
            <w:tcW w:w="1961"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安全生产岗位履职清单</w:t>
            </w:r>
          </w:p>
        </w:tc>
        <w:tc>
          <w:tcPr>
            <w:tcW w:w="1129"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rPr>
            </w:pPr>
            <w:r>
              <w:rPr>
                <w:rFonts w:hint="eastAsia" w:ascii="黑体" w:hAnsi="黑体" w:eastAsia="黑体" w:cs="宋体"/>
                <w:color w:val="000000"/>
                <w:kern w:val="0"/>
                <w:sz w:val="22"/>
              </w:rPr>
              <w:t>清单依据</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166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负责监督分管部门安全生产责任制建设工作，监督集团公司各系统安全生产规章制度、作业标准、管理规范建设工作。</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1</w:t>
            </w:r>
            <w:r>
              <w:rPr>
                <w:rFonts w:hint="eastAsia" w:ascii="仿宋" w:hAnsi="仿宋" w:eastAsia="仿宋" w:cs="宋体"/>
                <w:color w:val="000000"/>
                <w:kern w:val="0"/>
                <w:sz w:val="22"/>
              </w:rPr>
              <w:t>）每年上半年组织分管部门动态完善安全生产责任制。</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安全生产法、成都铁路局安全生产责任制</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2</w:t>
            </w:r>
            <w:r>
              <w:rPr>
                <w:rFonts w:hint="eastAsia" w:ascii="仿宋" w:hAnsi="仿宋" w:eastAsia="仿宋" w:cs="宋体"/>
                <w:color w:val="000000"/>
                <w:kern w:val="0"/>
                <w:sz w:val="22"/>
              </w:rPr>
              <w:t>）组织研究制定和完善集团公司安全生产和管理相关制度办法。</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安全生产法、成都铁路局安全管理实施细则</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）年初组织制订集团公司年度安全目标、计划和重点安全工作任务，并组织实施。</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企业安全生产标准化基本规范、成都铁路局安全管理实施细则</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166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组织健全分管系统专业管理制度，明确专业技术管理、专业检查指导、安全重点攻关、结合部管理等方面的管理责任，组织开展对标对规检查考核。</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1</w:t>
            </w:r>
            <w:r>
              <w:rPr>
                <w:rFonts w:hint="eastAsia" w:ascii="仿宋" w:hAnsi="仿宋" w:eastAsia="仿宋" w:cs="宋体"/>
                <w:color w:val="000000"/>
                <w:kern w:val="0"/>
                <w:sz w:val="22"/>
              </w:rPr>
              <w:t>）组织健全分管系统的专业管理制度，明确专业技术管理、专业检查指导、安全重点整治、结合部管理方面的责任，开展对规对标检查。</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成都铁路局安全管理实施细则</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2</w:t>
            </w:r>
            <w:r>
              <w:rPr>
                <w:rFonts w:hint="eastAsia" w:ascii="仿宋" w:hAnsi="仿宋" w:eastAsia="仿宋" w:cs="宋体"/>
                <w:color w:val="000000"/>
                <w:kern w:val="0"/>
                <w:sz w:val="22"/>
              </w:rPr>
              <w:t>）四季度组织对分管系统下发的长效规章制度进行研讨，对与现场实际不相符合的条款进行修订，提高规章制度的落实效果。</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成都铁路局安全管理实施细则、铁路车辆安全管理规则</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166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组织建立健全分管系统安全生产、技术设备设施建设和更新改造计划，监督健全设备用、管、修、测制度，满足生产安全需要。</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1</w:t>
            </w:r>
            <w:r>
              <w:rPr>
                <w:rFonts w:hint="eastAsia" w:ascii="仿宋" w:hAnsi="仿宋" w:eastAsia="仿宋" w:cs="宋体"/>
                <w:color w:val="000000"/>
                <w:kern w:val="0"/>
                <w:sz w:val="22"/>
              </w:rPr>
              <w:t>）组织分管系统研究提出安全生产、技术设备设施建设和更新改造计划，并督促抓落实。</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成都铁路局安全管理实施细则</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2</w:t>
            </w:r>
            <w:r>
              <w:rPr>
                <w:rFonts w:hint="eastAsia" w:ascii="仿宋" w:hAnsi="仿宋" w:eastAsia="仿宋" w:cs="宋体"/>
                <w:color w:val="000000"/>
                <w:kern w:val="0"/>
                <w:sz w:val="22"/>
              </w:rPr>
              <w:t>）组织分管系统研究制定完善设备用、管、修、测制度，并督促认真落实。</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成都铁路局安全管理实施细则、铁路车辆安全管理规则</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16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组织实施安全风险防控和隐患治理双重预防机制。</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每半年组织完善集团公司层面的风险库和隐患库。</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成都局集团公司安全风险分级管控和安全隐患排查治理双重预防机制实施办法</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16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发生生产安全事故后，按相应级别应急预案要求组织或参与事故救援。</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若有事故发生，按照应急预案要求，及时组织或参与事故救援。</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成都铁路安全监督管理办公室铁路交通事故调查处理实施细则</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16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按照“四不放过”原则，组织对典型生产安全事故调查、分析、定责，查明原因教训，制定防范措施，依据有关规定实施责任追究。</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组织或参与事故调查，督促分析事故原因，制定落实相关措施。</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成都铁路安全监督管理办公室铁路交通事故调查处理实施细则</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166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参加集团公司安全工作会议、安全生产委员会会议，分析分管系统安全生产情况，研究安全生产重点问题。</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1</w:t>
            </w:r>
            <w:r>
              <w:rPr>
                <w:rFonts w:hint="eastAsia" w:ascii="仿宋" w:hAnsi="仿宋" w:eastAsia="仿宋" w:cs="宋体"/>
                <w:color w:val="000000"/>
                <w:kern w:val="0"/>
                <w:sz w:val="22"/>
              </w:rPr>
              <w:t>）针对每日的安全信息分析，对发现的问题督促相关部门落实整改。</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成都铁路局安全管理实施细则</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2</w:t>
            </w:r>
            <w:r>
              <w:rPr>
                <w:rFonts w:hint="eastAsia" w:ascii="仿宋" w:hAnsi="仿宋" w:eastAsia="仿宋" w:cs="宋体"/>
                <w:color w:val="000000"/>
                <w:kern w:val="0"/>
                <w:sz w:val="22"/>
              </w:rPr>
              <w:t>）每周参加集团公司周例会，并督促分管系统落实交班会要求。</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中国铁路成都局集团有限公司会议制度</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）每月（季度末最后一月除外）主持召开月度安全分析例会，督促各系统分析内部安全生产情况并制定落实整改防范措施，研究部署下一阶段的安全生产重点工作。</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成都局集团公司安全分析例会制度</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4</w:t>
            </w:r>
            <w:r>
              <w:rPr>
                <w:rFonts w:hint="eastAsia" w:ascii="仿宋" w:hAnsi="仿宋" w:eastAsia="仿宋" w:cs="宋体"/>
                <w:color w:val="000000"/>
                <w:kern w:val="0"/>
                <w:sz w:val="22"/>
              </w:rPr>
              <w:t>）每季度组织筹备季度安委会，参加会议并督促分管系统落实会议要求。</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成都局集团公司安全生产委员会工作制度</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ascii="仿宋" w:hAnsi="仿宋" w:eastAsia="仿宋" w:cs="宋体"/>
                <w:color w:val="000000"/>
                <w:kern w:val="0"/>
                <w:sz w:val="22"/>
              </w:rPr>
              <w:t>5</w:t>
            </w:r>
            <w:r>
              <w:rPr>
                <w:rFonts w:hint="eastAsia" w:ascii="仿宋" w:hAnsi="仿宋" w:eastAsia="仿宋" w:cs="宋体"/>
                <w:color w:val="000000"/>
                <w:kern w:val="0"/>
                <w:sz w:val="22"/>
              </w:rPr>
              <w:t>）参加国铁集团安全对话电视电话会议，并督促分管部门落实会上有关要求。</w:t>
            </w:r>
          </w:p>
        </w:tc>
        <w:tc>
          <w:tcPr>
            <w:tcW w:w="1129" w:type="pct"/>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工作分工</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6）筹备、组织或参加其他与分管工作有关的会议。</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成都铁路局安全管理实施细则</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1661"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深入运输生产一线调查研究，检查指导基层单位安全生产工作。</w:t>
            </w: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1）每月按照领导干部添乘检查制度要求至少添乘检查3次；针对季节性特点和分管工作重点,至少深入基层单位检查1次，深入作业现场检查1次；对分管范围内的重点安全风险控制至少抽查1个。每季至少对分管系统检查指导1次，尤其对安全管理、防洪安全、结合部管理、“两违”控制等方面进行指导。</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集团公司领导干部添乘检查制度、集团公司干部下现场检查量化制度</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61"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2"/>
              </w:rPr>
            </w:pPr>
          </w:p>
        </w:tc>
        <w:tc>
          <w:tcPr>
            <w:tcW w:w="196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2）严格落实集团公司领导班子成员联系基层单位、工作联系点制度，每年参加和指导包保联系单位民主生活会，指导抓好有关工作。</w:t>
            </w:r>
          </w:p>
        </w:tc>
        <w:tc>
          <w:tcPr>
            <w:tcW w:w="1129"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2"/>
              </w:rPr>
            </w:pPr>
            <w:r>
              <w:rPr>
                <w:rFonts w:hint="eastAsia" w:ascii="仿宋" w:hAnsi="仿宋" w:eastAsia="仿宋" w:cs="宋体"/>
                <w:color w:val="000000"/>
                <w:kern w:val="0"/>
                <w:sz w:val="22"/>
              </w:rPr>
              <w:t>集团公司领导班子成员联系基层单位、工作联系点制度</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166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196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1129"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2E163AB"/>
    <w:rsid w:val="093277A9"/>
    <w:rsid w:val="0C00517C"/>
    <w:rsid w:val="0DEA1EA6"/>
    <w:rsid w:val="1BD80837"/>
    <w:rsid w:val="1C7F2A05"/>
    <w:rsid w:val="1D222E46"/>
    <w:rsid w:val="269B0465"/>
    <w:rsid w:val="2DD907B5"/>
    <w:rsid w:val="332858D5"/>
    <w:rsid w:val="341C3FDE"/>
    <w:rsid w:val="37014E1F"/>
    <w:rsid w:val="39410733"/>
    <w:rsid w:val="39810D86"/>
    <w:rsid w:val="3DA76CDD"/>
    <w:rsid w:val="4020549C"/>
    <w:rsid w:val="41302AFE"/>
    <w:rsid w:val="465E50BE"/>
    <w:rsid w:val="49521D81"/>
    <w:rsid w:val="4B115470"/>
    <w:rsid w:val="4C265B4C"/>
    <w:rsid w:val="4F270F69"/>
    <w:rsid w:val="585208C9"/>
    <w:rsid w:val="5D9F2447"/>
    <w:rsid w:val="5E096584"/>
    <w:rsid w:val="6040308A"/>
    <w:rsid w:val="613E78A3"/>
    <w:rsid w:val="61BF3015"/>
    <w:rsid w:val="62E163AB"/>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17</Characters>
  <Lines>0</Lines>
  <Paragraphs>0</Paragraphs>
  <TotalTime>0</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2023-03-02T09:29:00Z</dcterms:created>
  <dc:creator>孙瑞</dc:creator>
  <cp:lastModifiedBy>孙瑞</cp:lastModifiedBy>
  <dcterms:modified xsi:type="dcterms:W3CDTF">2023-03-02T09:29:47Z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15407CDCA30E40509CC53A3B49EDB43E</vt:lpwstr>
  </property>
</Properties>
</file>