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2-1 重大安全风险管控清单</w:t>
      </w:r>
    </w:p>
    <w:tbl>
      <w:tblPr>
        <w:tblStyle w:val="12"/>
        <w:tblW w:w="5000" w:type="pct"/>
        <w:tblInd w:w="0" w:type="dxa"/>
        <w:tblLayout w:type="fixed"/>
        <w:tblCellMar>
          <w:top w:w="0" w:type="dxa"/>
          <w:left w:w="108" w:type="dxa"/>
          <w:bottom w:w="0" w:type="dxa"/>
          <w:right w:w="108" w:type="dxa"/>
        </w:tblCellMar>
      </w:tblPr>
      <w:tblGrid>
        <w:gridCol w:w="644"/>
        <w:gridCol w:w="646"/>
        <w:gridCol w:w="646"/>
        <w:gridCol w:w="646"/>
        <w:gridCol w:w="646"/>
        <w:gridCol w:w="978"/>
        <w:gridCol w:w="477"/>
        <w:gridCol w:w="1001"/>
        <w:gridCol w:w="3090"/>
        <w:gridCol w:w="2752"/>
        <w:gridCol w:w="2010"/>
        <w:gridCol w:w="638"/>
      </w:tblGrid>
      <w:tr>
        <w:tblPrEx>
          <w:tblCellMar>
            <w:top w:w="0" w:type="dxa"/>
            <w:left w:w="108" w:type="dxa"/>
            <w:bottom w:w="0" w:type="dxa"/>
            <w:right w:w="108" w:type="dxa"/>
          </w:tblCellMar>
        </w:tblPrEx>
        <w:trPr>
          <w:trHeight w:val="510" w:hRule="atLeast"/>
        </w:trPr>
        <w:tc>
          <w:tcPr>
            <w:tcW w:w="200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kern w:val="0"/>
                <w:szCs w:val="21"/>
              </w:rPr>
            </w:pPr>
            <w:r>
              <w:rPr>
                <w:rFonts w:hint="eastAsia" w:ascii="仿宋" w:hAnsi="仿宋" w:eastAsia="仿宋" w:cs="宋体"/>
                <w:b/>
                <w:bCs/>
                <w:kern w:val="0"/>
                <w:szCs w:val="21"/>
              </w:rPr>
              <w:t>风险研判</w:t>
            </w:r>
          </w:p>
        </w:tc>
        <w:tc>
          <w:tcPr>
            <w:tcW w:w="2061"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kern w:val="0"/>
                <w:szCs w:val="21"/>
              </w:rPr>
            </w:pPr>
            <w:r>
              <w:rPr>
                <w:rFonts w:hint="eastAsia" w:ascii="仿宋" w:hAnsi="仿宋" w:eastAsia="仿宋" w:cs="宋体"/>
                <w:b/>
                <w:bCs/>
                <w:kern w:val="0"/>
                <w:szCs w:val="21"/>
              </w:rPr>
              <w:t>管控措施</w:t>
            </w:r>
          </w:p>
        </w:tc>
        <w:tc>
          <w:tcPr>
            <w:tcW w:w="70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仿宋" w:hAnsi="仿宋" w:eastAsia="仿宋" w:cs="宋体"/>
                <w:b/>
                <w:bCs/>
                <w:kern w:val="0"/>
                <w:szCs w:val="21"/>
              </w:rPr>
            </w:pPr>
            <w:r>
              <w:rPr>
                <w:rFonts w:hint="eastAsia" w:ascii="仿宋" w:hAnsi="仿宋" w:eastAsia="仿宋" w:cs="宋体"/>
                <w:b/>
                <w:bCs/>
                <w:kern w:val="0"/>
                <w:szCs w:val="21"/>
              </w:rPr>
              <w:t xml:space="preserve"> 事故案例 </w:t>
            </w:r>
          </w:p>
        </w:tc>
        <w:tc>
          <w:tcPr>
            <w:tcW w:w="225"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kern w:val="0"/>
                <w:szCs w:val="21"/>
              </w:rPr>
            </w:pPr>
            <w:r>
              <w:rPr>
                <w:rFonts w:hint="eastAsia" w:ascii="仿宋" w:hAnsi="仿宋" w:eastAsia="仿宋" w:cs="宋体"/>
                <w:b/>
                <w:bCs/>
                <w:kern w:val="0"/>
                <w:szCs w:val="21"/>
              </w:rPr>
              <w:t>责任分工</w:t>
            </w:r>
          </w:p>
        </w:tc>
      </w:tr>
      <w:tr>
        <w:tblPrEx>
          <w:tblCellMar>
            <w:top w:w="0" w:type="dxa"/>
            <w:left w:w="108" w:type="dxa"/>
            <w:bottom w:w="0" w:type="dxa"/>
            <w:right w:w="108" w:type="dxa"/>
          </w:tblCellMar>
        </w:tblPrEx>
        <w:trPr>
          <w:trHeight w:val="510" w:hRule="atLeast"/>
        </w:trPr>
        <w:tc>
          <w:tcPr>
            <w:tcW w:w="227"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编号</w:t>
            </w:r>
          </w:p>
        </w:tc>
        <w:tc>
          <w:tcPr>
            <w:tcW w:w="22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风险名称</w:t>
            </w:r>
          </w:p>
        </w:tc>
        <w:tc>
          <w:tcPr>
            <w:tcW w:w="22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风险类别</w:t>
            </w:r>
          </w:p>
        </w:tc>
        <w:tc>
          <w:tcPr>
            <w:tcW w:w="228"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个项分类</w:t>
            </w:r>
          </w:p>
        </w:tc>
        <w:tc>
          <w:tcPr>
            <w:tcW w:w="22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风险等级</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风险描述</w:t>
            </w:r>
            <w:r>
              <w:rPr>
                <w:rFonts w:hint="eastAsia" w:ascii="黑体" w:hAnsi="黑体" w:eastAsia="黑体" w:cs="宋体"/>
                <w:kern w:val="0"/>
                <w:szCs w:val="21"/>
              </w:rPr>
              <w:br w:type="textWrapping"/>
            </w:r>
            <w:r>
              <w:rPr>
                <w:rFonts w:hint="eastAsia" w:ascii="黑体" w:hAnsi="黑体" w:eastAsia="黑体" w:cs="宋体"/>
                <w:kern w:val="0"/>
                <w:szCs w:val="21"/>
              </w:rPr>
              <w:t>（风险致因）</w:t>
            </w:r>
          </w:p>
        </w:tc>
        <w:tc>
          <w:tcPr>
            <w:tcW w:w="168"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发生概率</w:t>
            </w:r>
          </w:p>
        </w:tc>
        <w:tc>
          <w:tcPr>
            <w:tcW w:w="353"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危害程度</w:t>
            </w:r>
            <w:r>
              <w:rPr>
                <w:rFonts w:hint="eastAsia" w:ascii="黑体" w:hAnsi="黑体" w:eastAsia="黑体" w:cs="宋体"/>
                <w:kern w:val="0"/>
                <w:szCs w:val="21"/>
              </w:rPr>
              <w:br w:type="textWrapping"/>
            </w:r>
            <w:r>
              <w:rPr>
                <w:rFonts w:hint="eastAsia" w:ascii="黑体" w:hAnsi="黑体" w:eastAsia="黑体" w:cs="宋体"/>
                <w:kern w:val="0"/>
                <w:szCs w:val="21"/>
              </w:rPr>
              <w:t>（可能后果）</w:t>
            </w:r>
          </w:p>
        </w:tc>
        <w:tc>
          <w:tcPr>
            <w:tcW w:w="1090"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防控措施</w:t>
            </w:r>
          </w:p>
        </w:tc>
        <w:tc>
          <w:tcPr>
            <w:tcW w:w="971"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应急处置措施</w:t>
            </w:r>
          </w:p>
        </w:tc>
        <w:tc>
          <w:tcPr>
            <w:tcW w:w="70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5"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管控部门</w:t>
            </w:r>
          </w:p>
        </w:tc>
      </w:tr>
      <w:tr>
        <w:tblPrEx>
          <w:tblCellMar>
            <w:top w:w="0" w:type="dxa"/>
            <w:left w:w="108" w:type="dxa"/>
            <w:bottom w:w="0" w:type="dxa"/>
            <w:right w:w="108" w:type="dxa"/>
          </w:tblCellMar>
        </w:tblPrEx>
        <w:trPr>
          <w:trHeight w:val="510" w:hRule="atLeast"/>
        </w:trPr>
        <w:tc>
          <w:tcPr>
            <w:tcW w:w="227"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345"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16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35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1090"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97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70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5"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r>
      <w:tr>
        <w:tblPrEx>
          <w:tblCellMar>
            <w:top w:w="0" w:type="dxa"/>
            <w:left w:w="108" w:type="dxa"/>
            <w:bottom w:w="0" w:type="dxa"/>
            <w:right w:w="108" w:type="dxa"/>
          </w:tblCellMar>
        </w:tblPrEx>
        <w:trPr>
          <w:trHeight w:val="510" w:hRule="atLeast"/>
        </w:trPr>
        <w:tc>
          <w:tcPr>
            <w:tcW w:w="227"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8"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345"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16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35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1090"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97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c>
          <w:tcPr>
            <w:tcW w:w="709"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黑体" w:hAnsi="黑体" w:eastAsia="黑体" w:cs="宋体"/>
                <w:kern w:val="0"/>
                <w:szCs w:val="21"/>
              </w:rPr>
            </w:pPr>
          </w:p>
        </w:tc>
        <w:tc>
          <w:tcPr>
            <w:tcW w:w="225"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黑体" w:hAnsi="黑体" w:eastAsia="黑体" w:cs="宋体"/>
                <w:kern w:val="0"/>
                <w:szCs w:val="21"/>
              </w:rPr>
            </w:pPr>
          </w:p>
        </w:tc>
      </w:tr>
      <w:tr>
        <w:tblPrEx>
          <w:tblCellMar>
            <w:top w:w="0" w:type="dxa"/>
            <w:left w:w="108" w:type="dxa"/>
            <w:bottom w:w="0" w:type="dxa"/>
            <w:right w:w="108" w:type="dxa"/>
          </w:tblCellMar>
        </w:tblPrEx>
        <w:trPr>
          <w:trHeight w:val="510" w:hRule="atLeast"/>
        </w:trPr>
        <w:tc>
          <w:tcPr>
            <w:tcW w:w="227"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黑体" w:hAnsi="黑体" w:eastAsia="黑体" w:cs="宋体"/>
                <w:kern w:val="0"/>
                <w:szCs w:val="21"/>
              </w:rPr>
            </w:pPr>
            <w:r>
              <w:rPr>
                <w:rFonts w:hint="eastAsia" w:ascii="黑体" w:hAnsi="黑体" w:eastAsia="黑体" w:cs="宋体"/>
                <w:kern w:val="0"/>
                <w:szCs w:val="21"/>
              </w:rPr>
              <w:t>1</w:t>
            </w:r>
          </w:p>
        </w:tc>
        <w:tc>
          <w:tcPr>
            <w:tcW w:w="22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2</w:t>
            </w:r>
          </w:p>
        </w:tc>
        <w:tc>
          <w:tcPr>
            <w:tcW w:w="22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3</w:t>
            </w:r>
          </w:p>
        </w:tc>
        <w:tc>
          <w:tcPr>
            <w:tcW w:w="22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4</w:t>
            </w:r>
          </w:p>
        </w:tc>
        <w:tc>
          <w:tcPr>
            <w:tcW w:w="22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5</w:t>
            </w:r>
          </w:p>
        </w:tc>
        <w:tc>
          <w:tcPr>
            <w:tcW w:w="345"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6</w:t>
            </w:r>
          </w:p>
        </w:tc>
        <w:tc>
          <w:tcPr>
            <w:tcW w:w="16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7</w:t>
            </w:r>
          </w:p>
        </w:tc>
        <w:tc>
          <w:tcPr>
            <w:tcW w:w="353"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8</w:t>
            </w:r>
          </w:p>
        </w:tc>
        <w:tc>
          <w:tcPr>
            <w:tcW w:w="1090"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9</w:t>
            </w:r>
          </w:p>
        </w:tc>
        <w:tc>
          <w:tcPr>
            <w:tcW w:w="971"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10</w:t>
            </w:r>
          </w:p>
        </w:tc>
        <w:tc>
          <w:tcPr>
            <w:tcW w:w="709"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11</w:t>
            </w:r>
          </w:p>
        </w:tc>
        <w:tc>
          <w:tcPr>
            <w:tcW w:w="225"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黑体" w:hAnsi="黑体" w:eastAsia="黑体" w:cs="宋体"/>
                <w:kern w:val="0"/>
                <w:szCs w:val="21"/>
              </w:rPr>
            </w:pPr>
            <w:r>
              <w:rPr>
                <w:rFonts w:hint="eastAsia" w:ascii="黑体" w:hAnsi="黑体" w:eastAsia="黑体" w:cs="宋体"/>
                <w:kern w:val="0"/>
                <w:szCs w:val="21"/>
              </w:rPr>
              <w:t>12</w:t>
            </w:r>
          </w:p>
        </w:tc>
      </w:tr>
      <w:tr>
        <w:tblPrEx>
          <w:tblCellMar>
            <w:top w:w="0" w:type="dxa"/>
            <w:left w:w="108" w:type="dxa"/>
            <w:bottom w:w="0" w:type="dxa"/>
            <w:right w:w="108" w:type="dxa"/>
          </w:tblCellMar>
        </w:tblPrEx>
        <w:trPr>
          <w:trHeight w:val="510" w:hRule="atLeast"/>
        </w:trPr>
        <w:tc>
          <w:tcPr>
            <w:tcW w:w="227"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1</w:t>
            </w:r>
          </w:p>
        </w:tc>
        <w:tc>
          <w:tcPr>
            <w:tcW w:w="228"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错误办理多方向接发列车</w:t>
            </w:r>
          </w:p>
        </w:tc>
        <w:tc>
          <w:tcPr>
            <w:tcW w:w="228"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行车</w:t>
            </w:r>
          </w:p>
        </w:tc>
        <w:tc>
          <w:tcPr>
            <w:tcW w:w="228"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动、客、货</w:t>
            </w:r>
          </w:p>
        </w:tc>
        <w:tc>
          <w:tcPr>
            <w:tcW w:w="228" w:type="pct"/>
            <w:vMerge w:val="restart"/>
            <w:tcBorders>
              <w:top w:val="nil"/>
              <w:left w:val="single" w:color="auto" w:sz="4" w:space="0"/>
              <w:bottom w:val="single" w:color="000000" w:sz="4" w:space="0"/>
              <w:right w:val="single" w:color="auto" w:sz="4" w:space="0"/>
            </w:tcBorders>
            <w:shd w:val="clear" w:color="000000" w:fill="FF0000"/>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重大</w:t>
            </w:r>
          </w:p>
        </w:tc>
        <w:tc>
          <w:tcPr>
            <w:tcW w:w="345"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1.车次办理错误；办理接发车、执行车机联控时，未使用“线别或方向别”用语；</w:t>
            </w:r>
          </w:p>
        </w:tc>
        <w:tc>
          <w:tcPr>
            <w:tcW w:w="16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中</w:t>
            </w:r>
          </w:p>
        </w:tc>
        <w:tc>
          <w:tcPr>
            <w:tcW w:w="353"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错办闭塞发出列车</w:t>
            </w:r>
          </w:p>
        </w:tc>
        <w:tc>
          <w:tcPr>
            <w:tcW w:w="1090"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1.严禁使用TDCS替代电话办理预告（闭塞）；</w:t>
            </w:r>
            <w:r>
              <w:rPr>
                <w:rFonts w:hint="eastAsia" w:ascii="仿宋" w:hAnsi="仿宋" w:eastAsia="仿宋" w:cs="宋体"/>
                <w:kern w:val="0"/>
                <w:szCs w:val="21"/>
              </w:rPr>
              <w:br w:type="textWrapping"/>
            </w:r>
            <w:r>
              <w:rPr>
                <w:rFonts w:hint="eastAsia" w:ascii="仿宋" w:hAnsi="仿宋" w:eastAsia="仿宋" w:cs="宋体"/>
                <w:kern w:val="0"/>
                <w:szCs w:val="21"/>
              </w:rPr>
              <w:t>2.按规定使用《接发列车安全卡控表》或CIPS、STC等接发列车控制系统；</w:t>
            </w:r>
            <w:r>
              <w:rPr>
                <w:rFonts w:hint="eastAsia" w:ascii="仿宋" w:hAnsi="仿宋" w:eastAsia="仿宋" w:cs="宋体"/>
                <w:kern w:val="0"/>
                <w:szCs w:val="21"/>
              </w:rPr>
              <w:br w:type="textWrapping"/>
            </w:r>
            <w:r>
              <w:rPr>
                <w:rFonts w:hint="eastAsia" w:ascii="仿宋" w:hAnsi="仿宋" w:eastAsia="仿宋" w:cs="宋体"/>
                <w:kern w:val="0"/>
                <w:szCs w:val="21"/>
              </w:rPr>
              <w:t>3.分主次方向的车站，按规定采取对次要方向终端信号按钮实施“按钮封锁（封闭）或加挂“安全帽”的安全措施。</w:t>
            </w:r>
            <w:r>
              <w:rPr>
                <w:rFonts w:hint="eastAsia" w:ascii="仿宋" w:hAnsi="仿宋" w:eastAsia="仿宋" w:cs="宋体"/>
                <w:kern w:val="0"/>
                <w:szCs w:val="21"/>
              </w:rPr>
              <w:br w:type="textWrapping"/>
            </w:r>
            <w:r>
              <w:rPr>
                <w:rFonts w:hint="eastAsia" w:ascii="仿宋" w:hAnsi="仿宋" w:eastAsia="仿宋" w:cs="宋体"/>
                <w:kern w:val="0"/>
                <w:szCs w:val="21"/>
              </w:rPr>
              <w:t>4.办理接发列车及车机联控时，按规定使用“线别或方向别”用语，《站细》明确具体办法。</w:t>
            </w:r>
          </w:p>
        </w:tc>
        <w:tc>
          <w:tcPr>
            <w:tcW w:w="971"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1.发现进路不正确时，立即扣停列车，重新组织行车；</w:t>
            </w:r>
            <w:r>
              <w:rPr>
                <w:rFonts w:hint="eastAsia" w:ascii="仿宋" w:hAnsi="仿宋" w:eastAsia="仿宋" w:cs="宋体"/>
                <w:kern w:val="0"/>
                <w:szCs w:val="21"/>
              </w:rPr>
              <w:br w:type="textWrapping"/>
            </w:r>
            <w:r>
              <w:rPr>
                <w:rFonts w:hint="eastAsia" w:ascii="仿宋" w:hAnsi="仿宋" w:eastAsia="仿宋" w:cs="宋体"/>
                <w:kern w:val="0"/>
                <w:szCs w:val="21"/>
              </w:rPr>
              <w:t>2.接发车进路建立后，再次确认车次、时刻、方向，不一致时立即采取果断措施；</w:t>
            </w:r>
            <w:r>
              <w:rPr>
                <w:rFonts w:hint="eastAsia" w:ascii="仿宋" w:hAnsi="仿宋" w:eastAsia="仿宋" w:cs="宋体"/>
                <w:kern w:val="0"/>
                <w:szCs w:val="21"/>
              </w:rPr>
              <w:br w:type="textWrapping"/>
            </w:r>
            <w:r>
              <w:rPr>
                <w:rFonts w:hint="eastAsia" w:ascii="仿宋" w:hAnsi="仿宋" w:eastAsia="仿宋" w:cs="宋体"/>
                <w:kern w:val="0"/>
                <w:szCs w:val="21"/>
              </w:rPr>
              <w:t>3.调图过渡期间，车站管理人员将多方向接发列车作业特别是旅客列车和临时变更运行径路的货物列车的安全卡控作为监控重点。</w:t>
            </w:r>
          </w:p>
        </w:tc>
        <w:tc>
          <w:tcPr>
            <w:tcW w:w="709"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2014年12月6日10时57分，成都局六盘水车务段马嘎站车站值班员在办理接发车作业时，将应开往六盘水方向的K1262次错误开往曹家湾方向，构成错办闭塞发出列车铁路交通一般C（C9）类事故。</w:t>
            </w:r>
          </w:p>
        </w:tc>
        <w:tc>
          <w:tcPr>
            <w:tcW w:w="225"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运输部</w:t>
            </w:r>
          </w:p>
        </w:tc>
      </w:tr>
      <w:tr>
        <w:tblPrEx>
          <w:tblCellMar>
            <w:top w:w="0" w:type="dxa"/>
            <w:left w:w="108" w:type="dxa"/>
            <w:bottom w:w="0" w:type="dxa"/>
            <w:right w:w="108" w:type="dxa"/>
          </w:tblCellMar>
        </w:tblPrEx>
        <w:trPr>
          <w:trHeight w:val="510" w:hRule="atLeast"/>
        </w:trPr>
        <w:tc>
          <w:tcPr>
            <w:tcW w:w="227"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345"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2.变更运行径路、临时加开客车（动车）的命令传达不到位</w:t>
            </w:r>
          </w:p>
        </w:tc>
        <w:tc>
          <w:tcPr>
            <w:tcW w:w="16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中</w:t>
            </w:r>
          </w:p>
        </w:tc>
        <w:tc>
          <w:tcPr>
            <w:tcW w:w="353"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错办闭塞发出列车</w:t>
            </w:r>
          </w:p>
        </w:tc>
        <w:tc>
          <w:tcPr>
            <w:tcW w:w="1090"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1.车站值班员严格按列车调度员下达的列车运行计划办理接发列车。确需变更列车运行计划时，应经列车调度员同意并重新下达列车运行调整计划后方可实施。</w:t>
            </w:r>
            <w:r>
              <w:rPr>
                <w:rFonts w:hint="eastAsia" w:ascii="仿宋" w:hAnsi="仿宋" w:eastAsia="仿宋" w:cs="宋体"/>
                <w:kern w:val="0"/>
                <w:szCs w:val="21"/>
              </w:rPr>
              <w:br w:type="textWrapping"/>
            </w:r>
            <w:r>
              <w:rPr>
                <w:rFonts w:hint="eastAsia" w:ascii="仿宋" w:hAnsi="仿宋" w:eastAsia="仿宋" w:cs="宋体"/>
                <w:kern w:val="0"/>
                <w:szCs w:val="21"/>
              </w:rPr>
              <w:t>2.列车调度员对变更始发列车运行径路及临时下达计划、命令变更列车运行径路时，列车调度员须与车站值班员通话，确认列车运行径路变更的信息已清楚掌握。</w:t>
            </w:r>
          </w:p>
        </w:tc>
        <w:tc>
          <w:tcPr>
            <w:tcW w:w="971"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1.发现进路不正确时，立即扣停列车，重新组织行车；</w:t>
            </w:r>
            <w:r>
              <w:rPr>
                <w:rFonts w:hint="eastAsia" w:ascii="仿宋" w:hAnsi="仿宋" w:eastAsia="仿宋" w:cs="宋体"/>
                <w:kern w:val="0"/>
                <w:szCs w:val="21"/>
              </w:rPr>
              <w:br w:type="textWrapping"/>
            </w:r>
            <w:r>
              <w:rPr>
                <w:rFonts w:hint="eastAsia" w:ascii="仿宋" w:hAnsi="仿宋" w:eastAsia="仿宋" w:cs="宋体"/>
                <w:kern w:val="0"/>
                <w:szCs w:val="21"/>
              </w:rPr>
              <w:t>2.接发车进路建立后，再次确认车次、时刻、方向，不一致时立即采取果断措施；</w:t>
            </w:r>
            <w:r>
              <w:rPr>
                <w:rFonts w:hint="eastAsia" w:ascii="仿宋" w:hAnsi="仿宋" w:eastAsia="仿宋" w:cs="宋体"/>
                <w:kern w:val="0"/>
                <w:szCs w:val="21"/>
              </w:rPr>
              <w:br w:type="textWrapping"/>
            </w:r>
            <w:r>
              <w:rPr>
                <w:rFonts w:hint="eastAsia" w:ascii="仿宋" w:hAnsi="仿宋" w:eastAsia="仿宋" w:cs="宋体"/>
                <w:kern w:val="0"/>
                <w:szCs w:val="21"/>
              </w:rPr>
              <w:t>3.调图过渡期间，车站管理人员将多方向接发列车作业特别是旅客列车和临时变更运行径路的货物列车的安全卡控作为监控重点。</w:t>
            </w:r>
          </w:p>
        </w:tc>
        <w:tc>
          <w:tcPr>
            <w:tcW w:w="709"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2016年3月26日20时23分，33055次列车运行至广铁集团京广下行线大浦街站至茶山坳站间K1739+148处，机车信号接收到茶山坳站进站信号显示双黄灯，开通衡北出发场的进路，司机反映没有运行至衡北出发场的调度命令临时停车，茶山坳站重新交付调度命令后，列车20时44分开，构成铁路交通一般D14类漏传调度命令耽误列车事故。</w:t>
            </w:r>
          </w:p>
        </w:tc>
        <w:tc>
          <w:tcPr>
            <w:tcW w:w="225"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运输部</w:t>
            </w:r>
          </w:p>
        </w:tc>
      </w:tr>
      <w:tr>
        <w:tblPrEx>
          <w:tblCellMar>
            <w:top w:w="0" w:type="dxa"/>
            <w:left w:w="108" w:type="dxa"/>
            <w:bottom w:w="0" w:type="dxa"/>
            <w:right w:w="108" w:type="dxa"/>
          </w:tblCellMar>
        </w:tblPrEx>
        <w:trPr>
          <w:trHeight w:val="510" w:hRule="atLeast"/>
        </w:trPr>
        <w:tc>
          <w:tcPr>
            <w:tcW w:w="227"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228"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仿宋" w:hAnsi="仿宋" w:eastAsia="仿宋" w:cs="宋体"/>
                <w:kern w:val="0"/>
                <w:szCs w:val="21"/>
              </w:rPr>
            </w:pPr>
          </w:p>
        </w:tc>
        <w:tc>
          <w:tcPr>
            <w:tcW w:w="345" w:type="pct"/>
            <w:tcBorders>
              <w:top w:val="nil"/>
              <w:left w:val="nil"/>
              <w:bottom w:val="single" w:color="auto" w:sz="4" w:space="0"/>
              <w:right w:val="single" w:color="auto" w:sz="4" w:space="0"/>
            </w:tcBorders>
            <w:shd w:val="clear" w:color="000000" w:fill="FFFFFF"/>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变更运行径路、临时加开客车（动车）的命令传达不到位。</w:t>
            </w:r>
          </w:p>
        </w:tc>
        <w:tc>
          <w:tcPr>
            <w:tcW w:w="168"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低</w:t>
            </w:r>
          </w:p>
        </w:tc>
        <w:tc>
          <w:tcPr>
            <w:tcW w:w="353"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错办闭塞发出列车。</w:t>
            </w:r>
          </w:p>
        </w:tc>
        <w:tc>
          <w:tcPr>
            <w:tcW w:w="1090"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1.确需变更列车运行计划时，应经列车调度员同意并重新下达列车运行调整计划后方可实施；</w:t>
            </w:r>
            <w:r>
              <w:rPr>
                <w:rFonts w:hint="eastAsia" w:ascii="仿宋" w:hAnsi="仿宋" w:eastAsia="仿宋" w:cs="宋体"/>
                <w:kern w:val="0"/>
                <w:szCs w:val="21"/>
              </w:rPr>
              <w:br w:type="textWrapping"/>
            </w:r>
            <w:r>
              <w:rPr>
                <w:rFonts w:hint="eastAsia" w:ascii="仿宋" w:hAnsi="仿宋" w:eastAsia="仿宋" w:cs="宋体"/>
                <w:kern w:val="0"/>
                <w:szCs w:val="21"/>
              </w:rPr>
              <w:t>2.列车调度员对变更始发列车运行径路及临时下达计划、命令变更列车运行径路时，列车调度员须与车站值班员通话，确认列车运行径路变更的信息已清楚掌握。</w:t>
            </w:r>
          </w:p>
        </w:tc>
        <w:tc>
          <w:tcPr>
            <w:tcW w:w="971"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r>
              <w:rPr>
                <w:rFonts w:hint="eastAsia" w:ascii="仿宋" w:hAnsi="仿宋" w:eastAsia="仿宋" w:cs="宋体"/>
                <w:kern w:val="0"/>
                <w:szCs w:val="21"/>
              </w:rPr>
              <w:t>1.发现进路不正确时，立即扣停列车，重新组织行车；</w:t>
            </w:r>
            <w:r>
              <w:rPr>
                <w:rFonts w:hint="eastAsia" w:ascii="仿宋" w:hAnsi="仿宋" w:eastAsia="仿宋" w:cs="宋体"/>
                <w:kern w:val="0"/>
                <w:szCs w:val="21"/>
              </w:rPr>
              <w:br w:type="textWrapping"/>
            </w:r>
            <w:r>
              <w:rPr>
                <w:rFonts w:hint="eastAsia" w:ascii="仿宋" w:hAnsi="仿宋" w:eastAsia="仿宋" w:cs="宋体"/>
                <w:kern w:val="0"/>
                <w:szCs w:val="21"/>
              </w:rPr>
              <w:t>2.调图过渡期间，将多方向接发列车作业特别是旅客列车和临时变更运行径路的货物列车的安全卡控作为监控重点。</w:t>
            </w:r>
          </w:p>
        </w:tc>
        <w:tc>
          <w:tcPr>
            <w:tcW w:w="709" w:type="pct"/>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 w:hAnsi="仿宋" w:eastAsia="仿宋" w:cs="宋体"/>
                <w:kern w:val="0"/>
                <w:szCs w:val="21"/>
              </w:rPr>
            </w:pPr>
          </w:p>
        </w:tc>
        <w:tc>
          <w:tcPr>
            <w:tcW w:w="225"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kern w:val="0"/>
                <w:szCs w:val="21"/>
              </w:rPr>
            </w:pPr>
            <w:r>
              <w:rPr>
                <w:rFonts w:hint="eastAsia" w:ascii="仿宋" w:hAnsi="仿宋" w:eastAsia="仿宋" w:cs="宋体"/>
                <w:kern w:val="0"/>
                <w:szCs w:val="21"/>
              </w:rPr>
              <w:t>调度所</w:t>
            </w:r>
          </w:p>
        </w:tc>
      </w:tr>
      <w:tr>
        <w:tblPrEx>
          <w:tblCellMar>
            <w:top w:w="0" w:type="dxa"/>
            <w:left w:w="108" w:type="dxa"/>
            <w:bottom w:w="0" w:type="dxa"/>
            <w:right w:w="108" w:type="dxa"/>
          </w:tblCellMar>
        </w:tblPrEx>
        <w:trPr>
          <w:trHeight w:val="510" w:hRule="atLeast"/>
        </w:trPr>
        <w:tc>
          <w:tcPr>
            <w:tcW w:w="227"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28"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28"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28"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28"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345"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168"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353"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1090"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971"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709"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25"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r>
      <w:tr>
        <w:tblPrEx>
          <w:tblCellMar>
            <w:top w:w="0" w:type="dxa"/>
            <w:left w:w="108" w:type="dxa"/>
            <w:bottom w:w="0" w:type="dxa"/>
            <w:right w:w="108" w:type="dxa"/>
          </w:tblCellMar>
        </w:tblPrEx>
        <w:trPr>
          <w:trHeight w:val="510" w:hRule="atLeast"/>
        </w:trPr>
        <w:tc>
          <w:tcPr>
            <w:tcW w:w="5000" w:type="pct"/>
            <w:gridSpan w:val="12"/>
            <w:tcBorders>
              <w:top w:val="single" w:color="auto" w:sz="4" w:space="0"/>
              <w:left w:val="nil"/>
              <w:bottom w:val="nil"/>
              <w:right w:val="nil"/>
            </w:tcBorders>
            <w:shd w:val="clear" w:color="auto" w:fill="auto"/>
            <w:noWrap/>
            <w:vAlign w:val="center"/>
          </w:tcPr>
          <w:p>
            <w:pPr>
              <w:widowControl/>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集团公司、各部门、各单位均应建立安全风险管控清单，各单位、车间、班组风险管控责任应分劈到具体的机构（岗位）。</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93206FF"/>
    <w:rsid w:val="093277A9"/>
    <w:rsid w:val="0C00517C"/>
    <w:rsid w:val="0DEA1EA6"/>
    <w:rsid w:val="1BD80837"/>
    <w:rsid w:val="1C7F2A05"/>
    <w:rsid w:val="1D222E46"/>
    <w:rsid w:val="269B0465"/>
    <w:rsid w:val="293206FF"/>
    <w:rsid w:val="2DD907B5"/>
    <w:rsid w:val="332858D5"/>
    <w:rsid w:val="341C3FDE"/>
    <w:rsid w:val="37014E1F"/>
    <w:rsid w:val="39410733"/>
    <w:rsid w:val="3DA76CDD"/>
    <w:rsid w:val="4020549C"/>
    <w:rsid w:val="41302AFE"/>
    <w:rsid w:val="465E50BE"/>
    <w:rsid w:val="49521D81"/>
    <w:rsid w:val="4B115470"/>
    <w:rsid w:val="4C265B4C"/>
    <w:rsid w:val="4F270F69"/>
    <w:rsid w:val="55E22755"/>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13</Characters>
  <Lines>0</Lines>
  <Paragraphs>0</Paragraphs>
  <TotalTime>0</TotalTime>
  <ScaleCrop>false</ScaleCrop>
  <LinksUpToDate>false</LinksUpToDate>
  <CharactersWithSpaces>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2023-03-02T09:28:00Z</dcterms:created>
  <dc:creator>孙瑞</dc:creator>
  <cp:lastModifiedBy>孙瑞</cp:lastModifiedBy>
  <dcterms:modified xsi:type="dcterms:W3CDTF">2023-03-02T09:28:26Z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8306F4FF88324DB49F82A864BB1905A6</vt:lpwstr>
  </property>
</Properties>
</file>