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sz w:val="32"/>
          <w:szCs w:val="32"/>
        </w:rPr>
        <w:t>普货运输企业</w:t>
      </w:r>
      <w:r>
        <w:rPr>
          <w:rFonts w:asciiTheme="minorEastAsia" w:hAnsiTheme="minorEastAsia"/>
          <w:b/>
          <w:sz w:val="32"/>
          <w:szCs w:val="32"/>
        </w:rPr>
        <w:t>重大</w:t>
      </w:r>
      <w:r>
        <w:rPr>
          <w:rFonts w:hint="eastAsia" w:asciiTheme="minorEastAsia" w:hAnsiTheme="minorEastAsia"/>
          <w:b/>
          <w:sz w:val="32"/>
          <w:szCs w:val="32"/>
        </w:rPr>
        <w:t>风险管控清单</w:t>
      </w:r>
    </w:p>
    <w:tbl>
      <w:tblPr>
        <w:tblStyle w:val="1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729"/>
        <w:gridCol w:w="948"/>
        <w:gridCol w:w="2284"/>
        <w:gridCol w:w="7399"/>
        <w:gridCol w:w="1192"/>
        <w:gridCol w:w="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重点部位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风险等级</w:t>
            </w:r>
          </w:p>
        </w:tc>
        <w:tc>
          <w:tcPr>
            <w:tcW w:w="8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管控责任</w:t>
            </w:r>
          </w:p>
        </w:tc>
        <w:tc>
          <w:tcPr>
            <w:tcW w:w="2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管控措施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管控责任部门</w:t>
            </w:r>
          </w:p>
        </w:tc>
        <w:tc>
          <w:tcPr>
            <w:tcW w:w="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25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载货汽车道路运输安全运营风险</w:t>
            </w:r>
          </w:p>
        </w:tc>
        <w:tc>
          <w:tcPr>
            <w:tcW w:w="33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重大风险</w:t>
            </w:r>
          </w:p>
        </w:tc>
        <w:tc>
          <w:tcPr>
            <w:tcW w:w="80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1.加强驾驶员管理</w:t>
            </w:r>
          </w:p>
        </w:tc>
        <w:tc>
          <w:tcPr>
            <w:tcW w:w="2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严把从业人员准入关，加强驾驶员聘用管理和诚信考核。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人事部门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通过岗前培训、例会、定期学习等方式，对从业人员进行经常性安全生产、职业道德、业务知识和操作规程的教育培训。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安全部门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0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2.严格车辆技术管理</w:t>
            </w:r>
          </w:p>
        </w:tc>
        <w:tc>
          <w:tcPr>
            <w:tcW w:w="2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按规定设专门管理机构、配备专职车管人员负责车辆技术安全工作。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人事部门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严格落实车辆安全检查和二级维护保养制度。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技术部门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0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3.充分运用车辆卫星定位监控系统</w:t>
            </w:r>
          </w:p>
        </w:tc>
        <w:tc>
          <w:tcPr>
            <w:tcW w:w="2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严格落实动态管理人员配备，加强动态监控管理人员工作流程及内容培训，及时发现和纠正驾驶员违法违规行为，实行闭环管理。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监控部门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全面推进重型普通货物运输车辆应用安装主动安全智能防控系统。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监控部门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0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4.防超载管理</w:t>
            </w:r>
          </w:p>
        </w:tc>
        <w:tc>
          <w:tcPr>
            <w:tcW w:w="2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加强重点时段、重点路段路检路查工作。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安全部门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规范随车货物装载、加固，防止人货混装。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经营部门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</w:tbl>
    <w:p>
      <w:pPr>
        <w:pStyle w:val="1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50644137"/>
    <w:rsid w:val="093277A9"/>
    <w:rsid w:val="0C00517C"/>
    <w:rsid w:val="0DEA1EA6"/>
    <w:rsid w:val="1BD80837"/>
    <w:rsid w:val="1C7F2A05"/>
    <w:rsid w:val="1D222E46"/>
    <w:rsid w:val="1F4C5B1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0644137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  <w:style w:type="paragraph" w:styleId="1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16</Characters>
  <Lines>0</Lines>
  <Paragraphs>0</Paragraphs>
  <TotalTime>0</TotalTime>
  <ScaleCrop>false</ScaleCrop>
  <LinksUpToDate>false</LinksUpToDate>
  <CharactersWithSpaces>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2023-03-02T10:34:00Z</dcterms:created>
  <dc:creator>孙瑞</dc:creator>
  <cp:lastModifiedBy>孙瑞</cp:lastModifiedBy>
  <dcterms:modified xsi:type="dcterms:W3CDTF">2023-03-02T10:35:33Z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84AA065CAE70416ABE30C528DE802650</vt:lpwstr>
  </property>
</Properties>
</file>